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09D48" w14:textId="2AB5909E" w:rsidR="00DC76AB" w:rsidRPr="00A811A0" w:rsidRDefault="00764001" w:rsidP="00A811A0">
      <w:pPr>
        <w:widowControl w:val="0"/>
        <w:spacing w:after="0" w:line="240" w:lineRule="auto"/>
        <w:jc w:val="center"/>
        <w:rPr>
          <w:rFonts w:ascii="Arial" w:hAnsi="Arial" w:cs="Arial"/>
          <w:kern w:val="18"/>
          <w:sz w:val="18"/>
          <w:szCs w:val="18"/>
          <w:lang w:val="el-GR"/>
        </w:rPr>
      </w:pPr>
      <w:bookmarkStart w:id="0" w:name="_GoBack"/>
      <w:bookmarkEnd w:id="0"/>
      <w:r w:rsidRPr="00A811A0">
        <w:rPr>
          <w:rFonts w:ascii="Arial" w:hAnsi="Arial" w:cs="Arial"/>
          <w:kern w:val="18"/>
          <w:sz w:val="18"/>
          <w:szCs w:val="18"/>
          <w:lang w:val="el-GR"/>
        </w:rPr>
        <w:t xml:space="preserve">ΠΡΟΣΛΗΨΗ ΕΡΓΟΔΟΤΟΥΜΕΝΩΝ ΟΡΙΣΜΕΝΟΥ ΧΡΟΝΟΥ </w:t>
      </w:r>
    </w:p>
    <w:p w14:paraId="38A41561" w14:textId="009B401E" w:rsidR="00E80276" w:rsidRPr="00A811A0" w:rsidRDefault="00DC76AB" w:rsidP="00A811A0">
      <w:pPr>
        <w:widowControl w:val="0"/>
        <w:spacing w:after="0" w:line="240" w:lineRule="auto"/>
        <w:jc w:val="center"/>
        <w:rPr>
          <w:rFonts w:ascii="Arial" w:hAnsi="Arial" w:cs="Arial"/>
          <w:kern w:val="18"/>
          <w:sz w:val="18"/>
          <w:szCs w:val="18"/>
          <w:lang w:val="el-GR"/>
        </w:rPr>
      </w:pPr>
      <w:r w:rsidRPr="00A811A0">
        <w:rPr>
          <w:rFonts w:ascii="Arial" w:hAnsi="Arial" w:cs="Arial"/>
          <w:kern w:val="18"/>
          <w:sz w:val="18"/>
          <w:szCs w:val="18"/>
          <w:lang w:val="el-GR"/>
        </w:rPr>
        <w:t xml:space="preserve">ΓΙΑ ΤΙΣ ΑΝΑΓΚΕΣ </w:t>
      </w:r>
      <w:r w:rsidR="00764001" w:rsidRPr="00A811A0">
        <w:rPr>
          <w:rFonts w:ascii="Arial" w:hAnsi="Arial" w:cs="Arial"/>
          <w:kern w:val="18"/>
          <w:sz w:val="18"/>
          <w:szCs w:val="18"/>
          <w:lang w:val="el-GR"/>
        </w:rPr>
        <w:t>ΤΟ</w:t>
      </w:r>
      <w:r w:rsidRPr="00A811A0">
        <w:rPr>
          <w:rFonts w:ascii="Arial" w:hAnsi="Arial" w:cs="Arial"/>
          <w:kern w:val="18"/>
          <w:sz w:val="18"/>
          <w:szCs w:val="18"/>
          <w:lang w:val="el-GR"/>
        </w:rPr>
        <w:t>Υ</w:t>
      </w:r>
      <w:r w:rsidR="00764001" w:rsidRPr="00A811A0">
        <w:rPr>
          <w:rFonts w:ascii="Arial" w:hAnsi="Arial" w:cs="Arial"/>
          <w:kern w:val="18"/>
          <w:sz w:val="18"/>
          <w:szCs w:val="18"/>
          <w:lang w:val="el-GR"/>
        </w:rPr>
        <w:t xml:space="preserve"> ΓΕΝΙΚΟ</w:t>
      </w:r>
      <w:r w:rsidRPr="00A811A0">
        <w:rPr>
          <w:rFonts w:ascii="Arial" w:hAnsi="Arial" w:cs="Arial"/>
          <w:kern w:val="18"/>
          <w:sz w:val="18"/>
          <w:szCs w:val="18"/>
          <w:lang w:val="el-GR"/>
        </w:rPr>
        <w:t>Υ</w:t>
      </w:r>
      <w:r w:rsidR="00764001" w:rsidRPr="00A811A0">
        <w:rPr>
          <w:rFonts w:ascii="Arial" w:hAnsi="Arial" w:cs="Arial"/>
          <w:kern w:val="18"/>
          <w:sz w:val="18"/>
          <w:szCs w:val="18"/>
          <w:lang w:val="el-GR"/>
        </w:rPr>
        <w:t xml:space="preserve"> ΛΟΓΙΣΤΗΡΙΟ</w:t>
      </w:r>
      <w:r w:rsidRPr="00A811A0">
        <w:rPr>
          <w:rFonts w:ascii="Arial" w:hAnsi="Arial" w:cs="Arial"/>
          <w:kern w:val="18"/>
          <w:sz w:val="18"/>
          <w:szCs w:val="18"/>
          <w:lang w:val="el-GR"/>
        </w:rPr>
        <w:t>Υ</w:t>
      </w:r>
      <w:r w:rsidR="00764001" w:rsidRPr="00A811A0">
        <w:rPr>
          <w:rFonts w:ascii="Arial" w:hAnsi="Arial" w:cs="Arial"/>
          <w:kern w:val="18"/>
          <w:sz w:val="18"/>
          <w:szCs w:val="18"/>
          <w:lang w:val="el-GR"/>
        </w:rPr>
        <w:t xml:space="preserve"> ΤΗΣ ΔΗΜΟΚΡΑΤΙΑΣ </w:t>
      </w:r>
    </w:p>
    <w:p w14:paraId="09D50A86" w14:textId="77777777" w:rsidR="002121AF" w:rsidRPr="00A811A0" w:rsidRDefault="002121AF" w:rsidP="00A811A0">
      <w:pPr>
        <w:widowControl w:val="0"/>
        <w:spacing w:before="80" w:after="0" w:line="240" w:lineRule="auto"/>
        <w:jc w:val="center"/>
        <w:rPr>
          <w:rFonts w:ascii="Arial" w:hAnsi="Arial" w:cs="Arial"/>
          <w:kern w:val="18"/>
          <w:sz w:val="18"/>
          <w:szCs w:val="18"/>
          <w:lang w:val="el-GR"/>
        </w:rPr>
      </w:pPr>
      <w:r w:rsidRPr="00A811A0">
        <w:rPr>
          <w:rFonts w:ascii="Arial" w:hAnsi="Arial" w:cs="Arial"/>
          <w:kern w:val="18"/>
          <w:sz w:val="18"/>
          <w:szCs w:val="18"/>
          <w:lang w:val="el-GR"/>
        </w:rPr>
        <w:t>ΘΕΣΕΙΣ ΛΟΓΙΣΤΩΝ</w:t>
      </w:r>
      <w:r w:rsidR="00B90544" w:rsidRPr="00A811A0">
        <w:rPr>
          <w:rFonts w:ascii="Arial" w:hAnsi="Arial" w:cs="Arial"/>
          <w:kern w:val="18"/>
          <w:sz w:val="18"/>
          <w:szCs w:val="18"/>
          <w:lang w:val="el-GR"/>
        </w:rPr>
        <w:t xml:space="preserve"> </w:t>
      </w:r>
      <w:r w:rsidR="00670ECC" w:rsidRPr="00A811A0">
        <w:rPr>
          <w:rFonts w:ascii="Arial" w:hAnsi="Arial" w:cs="Arial"/>
          <w:kern w:val="18"/>
          <w:sz w:val="18"/>
          <w:szCs w:val="18"/>
          <w:lang w:val="el-GR"/>
        </w:rPr>
        <w:t>(Κλ. Α9, Α11</w:t>
      </w:r>
      <w:r w:rsidR="00DC76AB" w:rsidRPr="00A811A0">
        <w:rPr>
          <w:rFonts w:ascii="Arial" w:hAnsi="Arial" w:cs="Arial"/>
          <w:kern w:val="18"/>
          <w:sz w:val="18"/>
          <w:szCs w:val="18"/>
          <w:lang w:val="el-GR"/>
        </w:rPr>
        <w:t xml:space="preserve"> και</w:t>
      </w:r>
      <w:r w:rsidR="00670ECC" w:rsidRPr="00A811A0">
        <w:rPr>
          <w:rFonts w:ascii="Arial" w:hAnsi="Arial" w:cs="Arial"/>
          <w:kern w:val="18"/>
          <w:sz w:val="18"/>
          <w:szCs w:val="18"/>
          <w:lang w:val="el-GR"/>
        </w:rPr>
        <w:t xml:space="preserve"> Α12)</w:t>
      </w:r>
    </w:p>
    <w:p w14:paraId="4CAB172C" w14:textId="17891299" w:rsidR="00764001" w:rsidRPr="00A811A0" w:rsidRDefault="00764001" w:rsidP="00A811A0">
      <w:pPr>
        <w:widowControl w:val="0"/>
        <w:spacing w:before="60" w:after="0" w:line="240" w:lineRule="auto"/>
        <w:ind w:firstLine="284"/>
        <w:jc w:val="both"/>
        <w:rPr>
          <w:rFonts w:ascii="Arial" w:hAnsi="Arial" w:cs="Arial"/>
          <w:kern w:val="18"/>
          <w:sz w:val="18"/>
          <w:szCs w:val="18"/>
          <w:lang w:val="el-GR"/>
        </w:rPr>
      </w:pPr>
      <w:r w:rsidRPr="00A811A0">
        <w:rPr>
          <w:rFonts w:ascii="Arial" w:hAnsi="Arial" w:cs="Arial"/>
          <w:kern w:val="18"/>
          <w:sz w:val="18"/>
          <w:szCs w:val="18"/>
          <w:lang w:val="el-GR"/>
        </w:rPr>
        <w:t xml:space="preserve">Το Γενικό Λογιστήριο της Δημοκρατίας ανακοινώνει ότι, σύμφωνα με τις πρόνοιες </w:t>
      </w:r>
      <w:r w:rsidR="006E6CF0" w:rsidRPr="00A811A0">
        <w:rPr>
          <w:rFonts w:ascii="Arial" w:hAnsi="Arial" w:cs="Arial"/>
          <w:kern w:val="18"/>
          <w:sz w:val="18"/>
          <w:szCs w:val="18"/>
          <w:lang w:val="el-GR"/>
        </w:rPr>
        <w:t>της παραγράφου (δ)</w:t>
      </w:r>
      <w:r w:rsidR="0025191C" w:rsidRPr="00A811A0">
        <w:rPr>
          <w:rFonts w:ascii="Arial" w:hAnsi="Arial" w:cs="Arial"/>
          <w:kern w:val="18"/>
          <w:sz w:val="18"/>
          <w:szCs w:val="18"/>
          <w:lang w:val="el-GR"/>
        </w:rPr>
        <w:t xml:space="preserve"> του εδαφίου (2) του άρθρου 4</w:t>
      </w:r>
      <w:r w:rsidR="006E6CF0" w:rsidRPr="00A811A0">
        <w:rPr>
          <w:rFonts w:ascii="Arial" w:hAnsi="Arial" w:cs="Arial"/>
          <w:kern w:val="18"/>
          <w:sz w:val="18"/>
          <w:szCs w:val="18"/>
          <w:lang w:val="el-GR"/>
        </w:rPr>
        <w:t xml:space="preserve"> </w:t>
      </w:r>
      <w:r w:rsidRPr="00A811A0">
        <w:rPr>
          <w:rFonts w:ascii="Arial" w:hAnsi="Arial" w:cs="Arial"/>
          <w:kern w:val="18"/>
          <w:sz w:val="18"/>
          <w:szCs w:val="18"/>
          <w:lang w:val="el-GR"/>
        </w:rPr>
        <w:t xml:space="preserve">του περί της Ρύθμισης της Απασχόλησης Εργοδοτουμένων Αορίστου και Εργοδοτουμένων Ορισμένου Χρόνου στη Δημόσια Υπηρεσία Νόμο του 2016 (Ν. 70(Ι)/2016 – εφεξής ο Νόμος), γίνονται δεκτές αιτήσεις για απασχόληση </w:t>
      </w:r>
      <w:r w:rsidR="00DC3F94" w:rsidRPr="00A811A0">
        <w:rPr>
          <w:rFonts w:ascii="Arial" w:hAnsi="Arial" w:cs="Arial"/>
          <w:kern w:val="18"/>
          <w:sz w:val="18"/>
          <w:szCs w:val="18"/>
          <w:lang w:val="el-GR"/>
        </w:rPr>
        <w:t xml:space="preserve">μέχρι </w:t>
      </w:r>
      <w:r w:rsidR="00F33F87" w:rsidRPr="00A811A0">
        <w:rPr>
          <w:rFonts w:ascii="Arial" w:hAnsi="Arial" w:cs="Arial"/>
          <w:kern w:val="18"/>
          <w:sz w:val="18"/>
          <w:szCs w:val="18"/>
          <w:lang w:val="el-GR"/>
        </w:rPr>
        <w:t>είκοσι δύο</w:t>
      </w:r>
      <w:r w:rsidRPr="00A811A0">
        <w:rPr>
          <w:rFonts w:ascii="Arial" w:hAnsi="Arial" w:cs="Arial"/>
          <w:kern w:val="18"/>
          <w:sz w:val="18"/>
          <w:szCs w:val="18"/>
          <w:lang w:val="el-GR"/>
        </w:rPr>
        <w:t xml:space="preserve"> (</w:t>
      </w:r>
      <w:r w:rsidR="00F33F87" w:rsidRPr="00A811A0">
        <w:rPr>
          <w:rFonts w:ascii="Arial" w:hAnsi="Arial" w:cs="Arial"/>
          <w:kern w:val="18"/>
          <w:sz w:val="18"/>
          <w:szCs w:val="18"/>
          <w:lang w:val="el-GR"/>
        </w:rPr>
        <w:t>22</w:t>
      </w:r>
      <w:r w:rsidRPr="00A811A0">
        <w:rPr>
          <w:rFonts w:ascii="Arial" w:hAnsi="Arial" w:cs="Arial"/>
          <w:kern w:val="18"/>
          <w:sz w:val="18"/>
          <w:szCs w:val="18"/>
          <w:lang w:val="el-GR"/>
        </w:rPr>
        <w:t xml:space="preserve">) εργοδοτουμένων ορισμένου χρόνου για τη στελέχωση </w:t>
      </w:r>
      <w:r w:rsidR="009779B3" w:rsidRPr="00A811A0">
        <w:rPr>
          <w:rFonts w:ascii="Arial" w:hAnsi="Arial" w:cs="Arial"/>
          <w:kern w:val="18"/>
          <w:sz w:val="18"/>
          <w:szCs w:val="18"/>
          <w:lang w:val="el-GR"/>
        </w:rPr>
        <w:t>των Διευθύνσεων</w:t>
      </w:r>
      <w:r w:rsidRPr="00A811A0">
        <w:rPr>
          <w:rFonts w:ascii="Arial" w:hAnsi="Arial" w:cs="Arial"/>
          <w:kern w:val="18"/>
          <w:sz w:val="18"/>
          <w:szCs w:val="18"/>
          <w:lang w:val="el-GR"/>
        </w:rPr>
        <w:t xml:space="preserve"> Επαληθεύσεων και Πιστοποίησης</w:t>
      </w:r>
      <w:r w:rsidR="009779B3" w:rsidRPr="00A811A0">
        <w:rPr>
          <w:rFonts w:ascii="Arial" w:hAnsi="Arial" w:cs="Arial"/>
          <w:kern w:val="18"/>
          <w:sz w:val="18"/>
          <w:szCs w:val="18"/>
          <w:lang w:val="el-GR"/>
        </w:rPr>
        <w:t xml:space="preserve"> και Δημοσίων Συμβάσεων</w:t>
      </w:r>
      <w:r w:rsidRPr="00A811A0">
        <w:rPr>
          <w:rFonts w:ascii="Arial" w:hAnsi="Arial" w:cs="Arial"/>
          <w:kern w:val="18"/>
          <w:sz w:val="18"/>
          <w:szCs w:val="18"/>
          <w:lang w:val="el-GR"/>
        </w:rPr>
        <w:t xml:space="preserve"> του Γενικού Λογιστηρίου της Δημοκρατίας</w:t>
      </w:r>
      <w:r w:rsidR="009779B3" w:rsidRPr="00A811A0">
        <w:rPr>
          <w:rFonts w:ascii="Arial" w:hAnsi="Arial" w:cs="Arial"/>
          <w:kern w:val="18"/>
          <w:sz w:val="18"/>
          <w:szCs w:val="18"/>
          <w:lang w:val="el-GR"/>
        </w:rPr>
        <w:t>, καθώς</w:t>
      </w:r>
      <w:r w:rsidRPr="00A811A0">
        <w:rPr>
          <w:rFonts w:ascii="Arial" w:hAnsi="Arial" w:cs="Arial"/>
          <w:kern w:val="18"/>
          <w:sz w:val="18"/>
          <w:szCs w:val="18"/>
          <w:lang w:val="el-GR"/>
        </w:rPr>
        <w:t xml:space="preserve"> και της Μονάδας Ευρωπαϊκών Ταμείων του Υπουργείου Εσωτερικών</w:t>
      </w:r>
      <w:r w:rsidR="009779B3" w:rsidRPr="00A811A0">
        <w:rPr>
          <w:rFonts w:ascii="Arial" w:hAnsi="Arial" w:cs="Arial"/>
          <w:kern w:val="18"/>
          <w:sz w:val="18"/>
          <w:szCs w:val="18"/>
          <w:lang w:val="el-GR"/>
        </w:rPr>
        <w:t>,</w:t>
      </w:r>
      <w:r w:rsidR="007948E6" w:rsidRPr="00A811A0">
        <w:rPr>
          <w:rFonts w:ascii="Arial" w:hAnsi="Arial" w:cs="Arial"/>
          <w:kern w:val="18"/>
          <w:sz w:val="18"/>
          <w:szCs w:val="18"/>
          <w:lang w:val="el-GR"/>
        </w:rPr>
        <w:t xml:space="preserve"> για σκοπούς χρηματοοικονομικής διαχείρισης και ελέγχου των Συγχρηματο</w:t>
      </w:r>
      <w:r w:rsidR="00A811A0" w:rsidRPr="00A811A0">
        <w:rPr>
          <w:rFonts w:ascii="Arial" w:hAnsi="Arial" w:cs="Arial"/>
          <w:kern w:val="18"/>
          <w:sz w:val="18"/>
          <w:szCs w:val="18"/>
          <w:lang w:val="el-GR"/>
        </w:rPr>
        <w:t>-</w:t>
      </w:r>
      <w:r w:rsidR="007948E6" w:rsidRPr="00A811A0">
        <w:rPr>
          <w:rFonts w:ascii="Arial" w:hAnsi="Arial" w:cs="Arial"/>
          <w:kern w:val="18"/>
          <w:sz w:val="18"/>
          <w:szCs w:val="18"/>
          <w:lang w:val="el-GR"/>
        </w:rPr>
        <w:t>δοτούμενων Προγραμμάτων ευθύνης τους</w:t>
      </w:r>
      <w:r w:rsidRPr="00A811A0">
        <w:rPr>
          <w:rFonts w:ascii="Arial" w:hAnsi="Arial" w:cs="Arial"/>
          <w:kern w:val="18"/>
          <w:sz w:val="18"/>
          <w:szCs w:val="18"/>
          <w:lang w:val="el-GR"/>
        </w:rPr>
        <w:t>.</w:t>
      </w:r>
    </w:p>
    <w:p w14:paraId="5AA4E16D" w14:textId="77777777" w:rsidR="00583FE5" w:rsidRPr="00A811A0" w:rsidRDefault="00DC76AB" w:rsidP="00A811A0">
      <w:pPr>
        <w:widowControl w:val="0"/>
        <w:spacing w:before="60" w:after="0" w:line="240" w:lineRule="auto"/>
        <w:ind w:firstLine="284"/>
        <w:jc w:val="both"/>
        <w:rPr>
          <w:rFonts w:ascii="Arial" w:hAnsi="Arial" w:cs="Arial"/>
          <w:kern w:val="18"/>
          <w:sz w:val="18"/>
          <w:szCs w:val="18"/>
          <w:lang w:val="el-GR"/>
        </w:rPr>
      </w:pPr>
      <w:r w:rsidRPr="00A811A0">
        <w:rPr>
          <w:rFonts w:ascii="Arial" w:hAnsi="Arial" w:cs="Arial"/>
          <w:kern w:val="18"/>
          <w:sz w:val="18"/>
          <w:szCs w:val="18"/>
          <w:lang w:val="el-GR"/>
        </w:rPr>
        <w:t xml:space="preserve">2. </w:t>
      </w:r>
      <w:r w:rsidR="00583FE5" w:rsidRPr="00A811A0">
        <w:rPr>
          <w:rFonts w:ascii="Arial" w:hAnsi="Arial" w:cs="Arial"/>
          <w:kern w:val="18"/>
          <w:sz w:val="18"/>
          <w:szCs w:val="18"/>
          <w:lang w:val="el-GR"/>
        </w:rPr>
        <w:t>Καθήκοντα Λογιστών:</w:t>
      </w:r>
    </w:p>
    <w:p w14:paraId="026908C3" w14:textId="68AD91D3" w:rsidR="00583FE5" w:rsidRPr="00A811A0" w:rsidRDefault="00583FE5" w:rsidP="00A811A0">
      <w:pPr>
        <w:widowControl w:val="0"/>
        <w:spacing w:before="60" w:after="0" w:line="240" w:lineRule="auto"/>
        <w:ind w:firstLine="284"/>
        <w:jc w:val="both"/>
        <w:rPr>
          <w:rFonts w:ascii="Arial" w:hAnsi="Arial" w:cs="Arial"/>
          <w:kern w:val="18"/>
          <w:sz w:val="18"/>
          <w:szCs w:val="18"/>
          <w:lang w:val="el-GR"/>
        </w:rPr>
      </w:pPr>
      <w:r w:rsidRPr="00A811A0">
        <w:rPr>
          <w:rFonts w:ascii="Arial" w:hAnsi="Arial" w:cs="Arial"/>
          <w:kern w:val="18"/>
          <w:sz w:val="18"/>
          <w:szCs w:val="18"/>
          <w:lang w:val="el-GR"/>
        </w:rPr>
        <w:t>Τα καθήκοντα που θα εκτελούν οι λογιστές θα αφορούν στη χρηματοοικονομική διαχείριση και έλεγχο συγχρηματο</w:t>
      </w:r>
      <w:r w:rsidR="00A811A0" w:rsidRPr="00A811A0">
        <w:rPr>
          <w:rFonts w:ascii="Arial" w:hAnsi="Arial" w:cs="Arial"/>
          <w:kern w:val="18"/>
          <w:sz w:val="18"/>
          <w:szCs w:val="18"/>
          <w:lang w:val="el-GR"/>
        </w:rPr>
        <w:t>-</w:t>
      </w:r>
      <w:r w:rsidRPr="00A811A0">
        <w:rPr>
          <w:rFonts w:ascii="Arial" w:hAnsi="Arial" w:cs="Arial"/>
          <w:kern w:val="18"/>
          <w:sz w:val="18"/>
          <w:szCs w:val="18"/>
          <w:lang w:val="el-GR"/>
        </w:rPr>
        <w:t>δοτούμενων έργων και σχεδίων και θα περιλαμβάνουν μεταξύ άλλων διαχειριστικές επαληθεύσεις έργων δημοσίων συμβάσεων και σχεδίων χορηγιών, (περιλαμβανομένων επαληθεύσεων συμβατότητας με την περί δημοσίων συμβάσεων νομοθεσία), ανάπτυξη και εφαρμογή μεθοδολογιών και εργαλείων απλουστευμένου κόστους, συμβολή στην κατάρτιση αιτήσεων πληρωμής και λογαριασμών προς την Ευρωπαϊκή Επιτροπή και εντοπισμό και υποβολή παρατυπιών προς ενημέρωση της Ευρωπαϊκής Επιτροπής.  Στα πλαίσια εκτέλεσης των καθηκόντων απαιτούνται τα ακόλουθα:</w:t>
      </w:r>
    </w:p>
    <w:p w14:paraId="1281E57A"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Επαλήθευση ότι τα συγχρηματοδοτούμενα προϊόντα και υπηρεσίες έχουν παραδοθεί, ότι τα έργα είναι σύμφωνα με το εφαρμοστέο δίκαιο, το πρόγραμμα και τους όρους για τη στήριξη τους. </w:t>
      </w:r>
    </w:p>
    <w:p w14:paraId="1C4D3B7D"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Διενέργεια αξιολόγησης κινδύνων και εφαρμογή κατάλληλης διαδικασίας διαχείρισης κινδύνων και αποτελεσματικών και αναλογικών μέτρων καταπολέμησης της απάτης λαμβανομένων υπόψη των εντοπισθέντων κινδύνων.</w:t>
      </w:r>
    </w:p>
    <w:p w14:paraId="59EFDD6F"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Πρόληψη, εντοπισμός και διόρθωση  παρατυπιών, και επιβεβαίωση ότι οι δαπάνες που εγγράφονται στους λογαριασμούς είναι νόμιμες και κανονικές.</w:t>
      </w:r>
    </w:p>
    <w:p w14:paraId="620EDFE9"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Παροχή καθοδήγησης στους Δικαιούχους Έργων Δημοσίων Συμβάσεων και στους Φορείς Διαχείρισης Σχεδίων Χορηγιών σχετικά με τη θέσπιση εσωτερικών συστημάτων διαχείρισης των έργων / Σχεδίων για να ανταποκριθούν στις απαιτήσεις της Ένωσης, και την κατάρτιση των αιτήσεων επιστροφής δαπανών. </w:t>
      </w:r>
    </w:p>
    <w:p w14:paraId="6FB0DFC2"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Συμμόρφωση με τους Εθνικούς και Κοινοτικούς Κανονισμούς εφαρμογής των Ταμείων και ιδιαίτερα τους Κανόνες Επιλεξιμότητας και συμβατότητας με την περί δημοσίων συμβάσεων νομοθεσία.</w:t>
      </w:r>
    </w:p>
    <w:p w14:paraId="6F8507D1"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Συνεισφορά στη θέσπιση και εφαρμογή διαδικασιών και κατευθυντήριων γραμμών/οδηγιών/εγκυκλίων σε σχέση με το πλαίσιο των επαληθεύσεων, τη διαδρομή ελέγχου, τη συμβατότητα με την περί δημοσίων συμβάσεων νομοθεσία και μηχανισμών για την αποφυγή της πιθανότητας διπλής χρηματοδότησης των δαπανών και σύγκρουσης συμφερόντων.</w:t>
      </w:r>
    </w:p>
    <w:p w14:paraId="5D89BDF5"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Συντονισμός και παροχή εκπαίδευσης, καθοδήγησης και τεχνικής υποστήριξης στους υπόλοιπους εμπλεκόμενους φορείς διαχείρισης των προγραμμάτων σε θέματα επαληθεύσεων και συμβατότητας.</w:t>
      </w:r>
    </w:p>
    <w:p w14:paraId="0849428A"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Διασφάλιση ότι οι Φορείς Διαχείρισης των Σχεδίων διενεργούν τις επαληθεύσεις σύμφωνα με το πλαίσιο καθορίζεται στα εκάστοτε Σχέδια Χορηγιών, και τις κατευθυντήριες γραμμές της Ευρωπαϊκής Επιτροπής και να ελέγχει την ποιότητα των επαληθεύσεων που διενεργούνται. </w:t>
      </w:r>
    </w:p>
    <w:p w14:paraId="7D8A5623"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Συνεισφορά στην κατάρτιση Ετήσιων Συνόψεων Λογιστικών και Λοιπών Ελέγχων στη βάση των εκτελεστικών κανονισμών της Ευρωπαϊκής Επιτροπής</w:t>
      </w:r>
    </w:p>
    <w:p w14:paraId="3F176AC9"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Ηλεκτρονική καταγραφή των αποτελεσμάτων επαλήθευσης στα πληροφοριακά συστήματα των Προγραμμάτων και της Ευρωπαϊκής Επιτροπής.</w:t>
      </w:r>
    </w:p>
    <w:p w14:paraId="0068746B"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Συγκέντρωση των αποτελεσμάτων της εκτέλεσης των καθηκόντων επαληθεύσεων και ελέγχου από τους αρμόδιους ελεγκτικούς φορείς σύμφωνα με την εθνική και ενωσιακή νομοθεσία, καθώς και όλων των περιπτώσεων σοβαρών παρατυπιών, συμπεριλαμβανομένων και των περιπτώσεων ή υπονοιών απάτης, διαφθοράς και σύγκρουσης συμφερόντων και των ενεργειών αντιμετώπισής τους.</w:t>
      </w:r>
    </w:p>
    <w:p w14:paraId="4246E6B7"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Διαχείριση και επεξεργασία όλων των πληροφοριών των πραγματικών δικαιούχων που απαιτούνται για τον οριζόντιο έλεγχο για τη διασφάλιση της αποφυγής της διπλής χρηματοδότησης, της σύγκρουσης συμφερόντων και της σώρευσης της ενίσχυσης.</w:t>
      </w:r>
    </w:p>
    <w:p w14:paraId="350DDD03" w14:textId="77777777" w:rsidR="00583FE5" w:rsidRPr="00A811A0" w:rsidRDefault="00583FE5" w:rsidP="00A811A0">
      <w:pPr>
        <w:pStyle w:val="ListParagraph"/>
        <w:widowControl w:val="0"/>
        <w:numPr>
          <w:ilvl w:val="0"/>
          <w:numId w:val="7"/>
        </w:numPr>
        <w:spacing w:before="60" w:after="0" w:line="240" w:lineRule="auto"/>
        <w:ind w:left="709" w:hanging="283"/>
        <w:contextualSpacing w:val="0"/>
        <w:jc w:val="both"/>
        <w:rPr>
          <w:rFonts w:ascii="Arial" w:hAnsi="Arial" w:cs="Arial"/>
          <w:kern w:val="18"/>
          <w:sz w:val="18"/>
          <w:szCs w:val="18"/>
          <w:lang w:val="el-GR"/>
        </w:rPr>
      </w:pPr>
      <w:r w:rsidRPr="00A811A0">
        <w:rPr>
          <w:rFonts w:ascii="Arial" w:hAnsi="Arial" w:cs="Arial"/>
          <w:kern w:val="18"/>
          <w:sz w:val="18"/>
          <w:szCs w:val="18"/>
          <w:lang w:val="el-GR"/>
        </w:rPr>
        <w:t>Συντονισμός, εποπτεία, καθοδήγηση, έλεγχος και εκπαίδευση κατώτερου προσωπικού.</w:t>
      </w:r>
    </w:p>
    <w:p w14:paraId="6FE49ED8" w14:textId="77777777" w:rsidR="00583FE5" w:rsidRPr="00A811A0" w:rsidRDefault="00583FE5" w:rsidP="00A811A0">
      <w:pPr>
        <w:widowControl w:val="0"/>
        <w:spacing w:before="60" w:after="0" w:line="240" w:lineRule="auto"/>
        <w:jc w:val="both"/>
        <w:rPr>
          <w:rFonts w:ascii="Arial" w:hAnsi="Arial" w:cs="Arial"/>
          <w:kern w:val="18"/>
          <w:sz w:val="18"/>
          <w:szCs w:val="18"/>
          <w:lang w:val="el-GR"/>
        </w:rPr>
      </w:pPr>
      <w:r w:rsidRPr="00A811A0">
        <w:rPr>
          <w:rFonts w:ascii="Arial" w:hAnsi="Arial" w:cs="Arial"/>
          <w:kern w:val="18"/>
          <w:sz w:val="18"/>
          <w:szCs w:val="18"/>
          <w:lang w:val="el-GR"/>
        </w:rPr>
        <w:t xml:space="preserve">3. </w:t>
      </w:r>
      <w:bookmarkStart w:id="1" w:name="_Hlk95378642"/>
      <w:r w:rsidRPr="00A811A0">
        <w:rPr>
          <w:rFonts w:ascii="Arial" w:hAnsi="Arial" w:cs="Arial"/>
          <w:kern w:val="18"/>
          <w:sz w:val="18"/>
          <w:szCs w:val="18"/>
          <w:lang w:val="el-GR"/>
        </w:rPr>
        <w:t>Απαραίτητα Προσόντα Λογιστών:</w:t>
      </w:r>
    </w:p>
    <w:p w14:paraId="30AEADBF" w14:textId="77777777" w:rsidR="00583FE5" w:rsidRPr="00A811A0" w:rsidRDefault="00713F54" w:rsidP="00A811A0">
      <w:pPr>
        <w:widowControl w:val="0"/>
        <w:numPr>
          <w:ilvl w:val="0"/>
          <w:numId w:val="12"/>
        </w:numPr>
        <w:spacing w:before="60" w:after="0" w:line="240" w:lineRule="auto"/>
        <w:ind w:left="709" w:hanging="283"/>
        <w:jc w:val="both"/>
        <w:rPr>
          <w:rFonts w:ascii="Arial" w:hAnsi="Arial" w:cs="Arial"/>
          <w:kern w:val="18"/>
          <w:sz w:val="18"/>
          <w:szCs w:val="18"/>
          <w:lang w:val="el-GR"/>
        </w:rPr>
      </w:pPr>
      <w:r w:rsidRPr="00A811A0">
        <w:rPr>
          <w:rFonts w:ascii="Arial" w:hAnsi="Arial" w:cs="Arial"/>
          <w:kern w:val="18"/>
          <w:sz w:val="18"/>
          <w:szCs w:val="18"/>
          <w:lang w:val="el-GR"/>
        </w:rPr>
        <w:t>Λογιστές, μέλη των πιο κάτω σωμάτων:</w:t>
      </w:r>
    </w:p>
    <w:p w14:paraId="384C33CE" w14:textId="77777777" w:rsidR="00713F54" w:rsidRPr="00A811A0" w:rsidRDefault="00713F54" w:rsidP="00A811A0">
      <w:pPr>
        <w:widowControl w:val="0"/>
        <w:numPr>
          <w:ilvl w:val="0"/>
          <w:numId w:val="24"/>
        </w:numPr>
        <w:spacing w:before="20" w:after="0" w:line="240" w:lineRule="auto"/>
        <w:ind w:left="1434" w:hanging="357"/>
        <w:jc w:val="both"/>
        <w:rPr>
          <w:rFonts w:ascii="Arial" w:hAnsi="Arial" w:cs="Arial"/>
          <w:kern w:val="18"/>
          <w:sz w:val="18"/>
          <w:szCs w:val="18"/>
          <w:lang w:val="el-GR"/>
        </w:rPr>
      </w:pPr>
      <w:r w:rsidRPr="00A811A0">
        <w:rPr>
          <w:rFonts w:ascii="Arial" w:hAnsi="Arial" w:cs="Arial"/>
          <w:kern w:val="18"/>
          <w:sz w:val="18"/>
          <w:szCs w:val="18"/>
          <w:lang w:val="el-GR"/>
        </w:rPr>
        <w:t>Σύνδεσμος Εγκεκριμένων Λογιστών Κύπρου (ΣΕΛΚ)</w:t>
      </w:r>
    </w:p>
    <w:p w14:paraId="5E6C413F" w14:textId="77777777" w:rsidR="00713F54" w:rsidRPr="00A811A0" w:rsidRDefault="00713F54" w:rsidP="00A811A0">
      <w:pPr>
        <w:widowControl w:val="0"/>
        <w:numPr>
          <w:ilvl w:val="0"/>
          <w:numId w:val="24"/>
        </w:numPr>
        <w:spacing w:before="20" w:after="0" w:line="240" w:lineRule="auto"/>
        <w:ind w:left="1434" w:hanging="357"/>
        <w:jc w:val="both"/>
        <w:rPr>
          <w:rFonts w:ascii="Arial" w:hAnsi="Arial" w:cs="Arial"/>
          <w:kern w:val="18"/>
          <w:sz w:val="18"/>
          <w:szCs w:val="18"/>
        </w:rPr>
      </w:pPr>
      <w:r w:rsidRPr="00A811A0">
        <w:rPr>
          <w:rFonts w:ascii="Arial" w:hAnsi="Arial" w:cs="Arial"/>
          <w:kern w:val="18"/>
          <w:sz w:val="18"/>
          <w:szCs w:val="18"/>
        </w:rPr>
        <w:t>Institute of Chartered Accountants in England and Wales (ICAEW)</w:t>
      </w:r>
    </w:p>
    <w:p w14:paraId="7A0FFECD" w14:textId="77777777" w:rsidR="00713F54" w:rsidRPr="00A811A0" w:rsidRDefault="00713F54" w:rsidP="00A811A0">
      <w:pPr>
        <w:widowControl w:val="0"/>
        <w:numPr>
          <w:ilvl w:val="0"/>
          <w:numId w:val="24"/>
        </w:numPr>
        <w:spacing w:before="20" w:after="0" w:line="240" w:lineRule="auto"/>
        <w:ind w:left="1434" w:hanging="357"/>
        <w:jc w:val="both"/>
        <w:rPr>
          <w:rFonts w:ascii="Arial" w:hAnsi="Arial" w:cs="Arial"/>
          <w:kern w:val="18"/>
          <w:sz w:val="18"/>
          <w:szCs w:val="18"/>
        </w:rPr>
      </w:pPr>
      <w:r w:rsidRPr="00A811A0">
        <w:rPr>
          <w:rFonts w:ascii="Arial" w:hAnsi="Arial" w:cs="Arial"/>
          <w:kern w:val="18"/>
          <w:sz w:val="18"/>
          <w:szCs w:val="18"/>
        </w:rPr>
        <w:t>Institute of Chartered Accountants of Scotland (ICAS)</w:t>
      </w:r>
    </w:p>
    <w:p w14:paraId="52AEF469" w14:textId="77777777" w:rsidR="00713F54" w:rsidRPr="00A811A0" w:rsidRDefault="00713F54" w:rsidP="00A811A0">
      <w:pPr>
        <w:pStyle w:val="ListParagraph"/>
        <w:widowControl w:val="0"/>
        <w:numPr>
          <w:ilvl w:val="0"/>
          <w:numId w:val="24"/>
        </w:numPr>
        <w:spacing w:before="20" w:after="0" w:line="240" w:lineRule="auto"/>
        <w:ind w:left="1434" w:hanging="357"/>
        <w:contextualSpacing w:val="0"/>
        <w:jc w:val="both"/>
        <w:rPr>
          <w:rFonts w:ascii="Arial" w:hAnsi="Arial" w:cs="Arial"/>
          <w:kern w:val="18"/>
          <w:sz w:val="18"/>
          <w:szCs w:val="18"/>
        </w:rPr>
      </w:pPr>
      <w:r w:rsidRPr="00A811A0">
        <w:rPr>
          <w:rFonts w:ascii="Arial" w:hAnsi="Arial" w:cs="Arial"/>
          <w:kern w:val="18"/>
          <w:sz w:val="18"/>
          <w:szCs w:val="18"/>
        </w:rPr>
        <w:t>Association of Chartered Certified Accountants (ACCA)</w:t>
      </w:r>
    </w:p>
    <w:p w14:paraId="1CE33664" w14:textId="77777777" w:rsidR="00DC147F" w:rsidRPr="00A811A0" w:rsidRDefault="00DC147F" w:rsidP="00A811A0">
      <w:pPr>
        <w:widowControl w:val="0"/>
        <w:numPr>
          <w:ilvl w:val="0"/>
          <w:numId w:val="12"/>
        </w:numPr>
        <w:spacing w:before="60" w:after="0" w:line="240" w:lineRule="auto"/>
        <w:ind w:left="709" w:hanging="283"/>
        <w:jc w:val="both"/>
        <w:rPr>
          <w:rFonts w:ascii="Arial" w:hAnsi="Arial" w:cs="Arial"/>
          <w:kern w:val="18"/>
          <w:sz w:val="18"/>
          <w:szCs w:val="18"/>
          <w:lang w:val="el-GR"/>
        </w:rPr>
      </w:pPr>
      <w:r w:rsidRPr="00A811A0">
        <w:rPr>
          <w:rFonts w:ascii="Arial" w:hAnsi="Arial" w:cs="Arial"/>
          <w:kern w:val="18"/>
          <w:sz w:val="18"/>
          <w:szCs w:val="18"/>
          <w:lang w:val="el-GR"/>
        </w:rPr>
        <w:t>Αποδεδειγμένη κατοχή πολύ καλή</w:t>
      </w:r>
      <w:r w:rsidR="00234EC4" w:rsidRPr="00A811A0">
        <w:rPr>
          <w:rFonts w:ascii="Arial" w:hAnsi="Arial" w:cs="Arial"/>
          <w:kern w:val="18"/>
          <w:sz w:val="18"/>
          <w:szCs w:val="18"/>
          <w:lang w:val="el-GR"/>
        </w:rPr>
        <w:t>ς</w:t>
      </w:r>
      <w:r w:rsidRPr="00A811A0">
        <w:rPr>
          <w:rFonts w:ascii="Arial" w:hAnsi="Arial" w:cs="Arial"/>
          <w:kern w:val="18"/>
          <w:sz w:val="18"/>
          <w:szCs w:val="18"/>
          <w:lang w:val="el-GR"/>
        </w:rPr>
        <w:t xml:space="preserve"> γνώσης της Ελληνικής και της Αγγλικής</w:t>
      </w:r>
      <w:r w:rsidR="00234EC4" w:rsidRPr="00A811A0">
        <w:rPr>
          <w:rFonts w:ascii="Arial" w:hAnsi="Arial" w:cs="Arial"/>
          <w:kern w:val="18"/>
          <w:sz w:val="18"/>
          <w:szCs w:val="18"/>
          <w:lang w:val="el-GR"/>
        </w:rPr>
        <w:t xml:space="preserve"> ή της Γαλλικής ή της Γερμανικής γλώσσας</w:t>
      </w:r>
      <w:r w:rsidRPr="00A811A0">
        <w:rPr>
          <w:rFonts w:ascii="Arial" w:hAnsi="Arial" w:cs="Arial"/>
          <w:kern w:val="18"/>
          <w:sz w:val="18"/>
          <w:szCs w:val="18"/>
          <w:lang w:val="el-GR"/>
        </w:rPr>
        <w:t xml:space="preserve">. </w:t>
      </w:r>
      <w:r w:rsidR="00234EC4" w:rsidRPr="00A811A0">
        <w:rPr>
          <w:rFonts w:ascii="Arial" w:hAnsi="Arial" w:cs="Arial"/>
          <w:kern w:val="18"/>
          <w:sz w:val="18"/>
          <w:szCs w:val="18"/>
          <w:lang w:val="el-GR"/>
        </w:rPr>
        <w:t xml:space="preserve">Το επίπεδο </w:t>
      </w:r>
      <w:r w:rsidRPr="00A811A0">
        <w:rPr>
          <w:rFonts w:ascii="Arial" w:hAnsi="Arial" w:cs="Arial"/>
          <w:kern w:val="18"/>
          <w:sz w:val="18"/>
          <w:szCs w:val="18"/>
          <w:lang w:val="el-GR"/>
        </w:rPr>
        <w:t>γνώση</w:t>
      </w:r>
      <w:r w:rsidR="00234EC4" w:rsidRPr="00A811A0">
        <w:rPr>
          <w:rFonts w:ascii="Arial" w:hAnsi="Arial" w:cs="Arial"/>
          <w:kern w:val="18"/>
          <w:sz w:val="18"/>
          <w:szCs w:val="18"/>
          <w:lang w:val="el-GR"/>
        </w:rPr>
        <w:t>ς</w:t>
      </w:r>
      <w:r w:rsidRPr="00A811A0">
        <w:rPr>
          <w:rFonts w:ascii="Arial" w:hAnsi="Arial" w:cs="Arial"/>
          <w:kern w:val="18"/>
          <w:sz w:val="18"/>
          <w:szCs w:val="18"/>
          <w:lang w:val="el-GR"/>
        </w:rPr>
        <w:t xml:space="preserve"> </w:t>
      </w:r>
      <w:r w:rsidR="00234EC4" w:rsidRPr="00A811A0">
        <w:rPr>
          <w:rFonts w:ascii="Arial" w:hAnsi="Arial" w:cs="Arial"/>
          <w:kern w:val="18"/>
          <w:sz w:val="18"/>
          <w:szCs w:val="18"/>
          <w:lang w:val="el-GR"/>
        </w:rPr>
        <w:t xml:space="preserve">των πιο πάνω </w:t>
      </w:r>
      <w:r w:rsidRPr="00A811A0">
        <w:rPr>
          <w:rFonts w:ascii="Arial" w:hAnsi="Arial" w:cs="Arial"/>
          <w:kern w:val="18"/>
          <w:sz w:val="18"/>
          <w:szCs w:val="18"/>
          <w:lang w:val="el-GR"/>
        </w:rPr>
        <w:t>γλ</w:t>
      </w:r>
      <w:r w:rsidR="00234EC4" w:rsidRPr="00A811A0">
        <w:rPr>
          <w:rFonts w:ascii="Arial" w:hAnsi="Arial" w:cs="Arial"/>
          <w:kern w:val="18"/>
          <w:sz w:val="18"/>
          <w:szCs w:val="18"/>
          <w:lang w:val="el-GR"/>
        </w:rPr>
        <w:t>ωσσών</w:t>
      </w:r>
      <w:r w:rsidRPr="00A811A0">
        <w:rPr>
          <w:rFonts w:ascii="Arial" w:hAnsi="Arial" w:cs="Arial"/>
          <w:kern w:val="18"/>
          <w:sz w:val="18"/>
          <w:szCs w:val="18"/>
          <w:lang w:val="el-GR"/>
        </w:rPr>
        <w:t xml:space="preserve"> τεκμηριώνεται σύμφωνα με τον κατάλογο αποδεκτών τεκμηρίων στις αντίστοιχες θέσεις του δημόσιου τομέα όπως αυτά ορίζονται από την Επιτροπή Δημόσιας Υπηρεσίας.</w:t>
      </w:r>
    </w:p>
    <w:p w14:paraId="53AA506D" w14:textId="77777777" w:rsidR="00583FE5" w:rsidRPr="00A811A0" w:rsidRDefault="00583FE5" w:rsidP="00A811A0">
      <w:pPr>
        <w:widowControl w:val="0"/>
        <w:numPr>
          <w:ilvl w:val="0"/>
          <w:numId w:val="12"/>
        </w:numPr>
        <w:spacing w:before="60" w:after="0" w:line="240" w:lineRule="auto"/>
        <w:ind w:left="709" w:hanging="283"/>
        <w:jc w:val="both"/>
        <w:rPr>
          <w:rFonts w:ascii="Arial" w:hAnsi="Arial" w:cs="Arial"/>
          <w:kern w:val="18"/>
          <w:sz w:val="18"/>
          <w:szCs w:val="18"/>
          <w:lang w:val="el-GR"/>
        </w:rPr>
      </w:pPr>
      <w:r w:rsidRPr="00A811A0">
        <w:rPr>
          <w:rFonts w:ascii="Arial" w:hAnsi="Arial" w:cs="Arial"/>
          <w:kern w:val="18"/>
          <w:sz w:val="18"/>
          <w:szCs w:val="18"/>
          <w:lang w:val="el-GR"/>
        </w:rPr>
        <w:t>Ακεραιότητα χαρακτήρα, οργανωτική και διοικητική ικανότητα, υπευθυνότητα, πρωτοβουλία και ευθυκρισία.</w:t>
      </w:r>
    </w:p>
    <w:p w14:paraId="684F33C9" w14:textId="77777777" w:rsidR="00583FE5" w:rsidRPr="00A811A0" w:rsidRDefault="00AC6207" w:rsidP="00A811A0">
      <w:pPr>
        <w:widowControl w:val="0"/>
        <w:spacing w:before="60" w:line="240" w:lineRule="auto"/>
        <w:jc w:val="both"/>
        <w:rPr>
          <w:rFonts w:ascii="Arial" w:hAnsi="Arial" w:cs="Arial"/>
          <w:kern w:val="18"/>
          <w:sz w:val="18"/>
          <w:szCs w:val="18"/>
          <w:lang w:val="el-GR"/>
        </w:rPr>
      </w:pPr>
      <w:r w:rsidRPr="00A811A0">
        <w:rPr>
          <w:rFonts w:ascii="Arial" w:hAnsi="Arial" w:cs="Arial"/>
          <w:kern w:val="18"/>
          <w:sz w:val="18"/>
          <w:szCs w:val="18"/>
          <w:lang w:val="el-GR"/>
        </w:rPr>
        <w:lastRenderedPageBreak/>
        <w:t xml:space="preserve">4. </w:t>
      </w:r>
      <w:r w:rsidR="00583FE5" w:rsidRPr="00A811A0">
        <w:rPr>
          <w:rFonts w:ascii="Arial" w:hAnsi="Arial" w:cs="Arial"/>
          <w:kern w:val="18"/>
          <w:sz w:val="18"/>
          <w:szCs w:val="18"/>
          <w:lang w:val="el-GR"/>
        </w:rPr>
        <w:t>Κριτήρια Επιλογής Λογιστών</w:t>
      </w:r>
      <w:r w:rsidR="00713F54" w:rsidRPr="00A811A0">
        <w:rPr>
          <w:rFonts w:ascii="Arial" w:hAnsi="Arial" w:cs="Arial"/>
          <w:kern w:val="18"/>
          <w:sz w:val="18"/>
          <w:szCs w:val="18"/>
          <w:lang w:val="el-GR"/>
        </w:rPr>
        <w:t>:</w:t>
      </w:r>
    </w:p>
    <w:tbl>
      <w:tblPr>
        <w:tblStyle w:val="TableGrid"/>
        <w:tblW w:w="9350" w:type="dxa"/>
        <w:jc w:val="center"/>
        <w:tblLook w:val="04A0" w:firstRow="1" w:lastRow="0" w:firstColumn="1" w:lastColumn="0" w:noHBand="0" w:noVBand="1"/>
      </w:tblPr>
      <w:tblGrid>
        <w:gridCol w:w="562"/>
        <w:gridCol w:w="5671"/>
        <w:gridCol w:w="3117"/>
      </w:tblGrid>
      <w:tr w:rsidR="00A811A0" w:rsidRPr="00A811A0" w14:paraId="79286A70" w14:textId="77777777" w:rsidTr="00A811A0">
        <w:trPr>
          <w:trHeight w:val="633"/>
          <w:jc w:val="center"/>
        </w:trPr>
        <w:tc>
          <w:tcPr>
            <w:tcW w:w="6233" w:type="dxa"/>
            <w:gridSpan w:val="2"/>
            <w:vAlign w:val="center"/>
          </w:tcPr>
          <w:p w14:paraId="4182A7B8" w14:textId="77777777" w:rsidR="00583FE5" w:rsidRPr="00A811A0" w:rsidRDefault="00583FE5" w:rsidP="00A811A0">
            <w:pPr>
              <w:widowControl w:val="0"/>
              <w:spacing w:before="60" w:line="240" w:lineRule="auto"/>
              <w:rPr>
                <w:rFonts w:ascii="Arial" w:hAnsi="Arial" w:cs="Arial"/>
                <w:kern w:val="18"/>
                <w:sz w:val="18"/>
                <w:szCs w:val="18"/>
              </w:rPr>
            </w:pPr>
            <w:r w:rsidRPr="00A811A0">
              <w:rPr>
                <w:rFonts w:ascii="Arial" w:hAnsi="Arial" w:cs="Arial"/>
                <w:kern w:val="18"/>
                <w:sz w:val="18"/>
                <w:szCs w:val="18"/>
                <w:lang w:val="el-GR"/>
              </w:rPr>
              <w:t>ΚΡΙΤΗΡΙΑ ΚΑΙ ΒΑΘΜΟΛΟΓΙΑ</w:t>
            </w:r>
          </w:p>
        </w:tc>
        <w:tc>
          <w:tcPr>
            <w:tcW w:w="3117" w:type="dxa"/>
            <w:vAlign w:val="center"/>
          </w:tcPr>
          <w:p w14:paraId="4C6927CB" w14:textId="77777777" w:rsidR="00583FE5" w:rsidRPr="00A811A0" w:rsidRDefault="00583FE5" w:rsidP="00A811A0">
            <w:pPr>
              <w:widowControl w:val="0"/>
              <w:spacing w:before="60" w:line="240" w:lineRule="auto"/>
              <w:jc w:val="center"/>
              <w:rPr>
                <w:rFonts w:ascii="Arial" w:hAnsi="Arial" w:cs="Arial"/>
                <w:kern w:val="18"/>
                <w:sz w:val="18"/>
                <w:szCs w:val="18"/>
                <w:lang w:val="el-GR"/>
              </w:rPr>
            </w:pPr>
            <w:r w:rsidRPr="00A811A0">
              <w:rPr>
                <w:rFonts w:ascii="Arial" w:hAnsi="Arial" w:cs="Arial"/>
                <w:kern w:val="18"/>
                <w:sz w:val="18"/>
                <w:szCs w:val="18"/>
                <w:lang w:val="el-GR"/>
              </w:rPr>
              <w:t>ΜΕΓΙΣΤΗ ΒΑΘΜΟΛΟΓΙΑ ΚΡΙΤΗΡΙΟΥ</w:t>
            </w:r>
          </w:p>
        </w:tc>
      </w:tr>
      <w:tr w:rsidR="00A811A0" w:rsidRPr="00A811A0" w14:paraId="52152E02" w14:textId="77777777" w:rsidTr="00A811A0">
        <w:trPr>
          <w:trHeight w:val="1009"/>
          <w:jc w:val="center"/>
        </w:trPr>
        <w:tc>
          <w:tcPr>
            <w:tcW w:w="562" w:type="dxa"/>
            <w:vAlign w:val="center"/>
          </w:tcPr>
          <w:p w14:paraId="1E8846C5"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1</w:t>
            </w:r>
          </w:p>
        </w:tc>
        <w:tc>
          <w:tcPr>
            <w:tcW w:w="5671" w:type="dxa"/>
            <w:vAlign w:val="center"/>
          </w:tcPr>
          <w:p w14:paraId="6D0FC59C"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Ακαδημαϊκά Προσόντα:</w:t>
            </w:r>
          </w:p>
          <w:p w14:paraId="111CEDE8"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 xml:space="preserve">   Πανεπιστημιακό Δίπλωμα ή Τίτλος         (10)</w:t>
            </w:r>
          </w:p>
          <w:p w14:paraId="1DDF970E"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 xml:space="preserve">   Μεταπτυχιακό Δίπλωμα ή Τίτλος               (2)</w:t>
            </w:r>
          </w:p>
        </w:tc>
        <w:tc>
          <w:tcPr>
            <w:tcW w:w="3117" w:type="dxa"/>
            <w:vAlign w:val="center"/>
          </w:tcPr>
          <w:p w14:paraId="25B2A949" w14:textId="77777777" w:rsidR="00583FE5" w:rsidRPr="00A811A0" w:rsidRDefault="00583FE5" w:rsidP="00A811A0">
            <w:pPr>
              <w:widowControl w:val="0"/>
              <w:spacing w:before="60" w:line="240" w:lineRule="auto"/>
              <w:jc w:val="center"/>
              <w:rPr>
                <w:rFonts w:ascii="Arial" w:hAnsi="Arial" w:cs="Arial"/>
                <w:kern w:val="18"/>
                <w:sz w:val="18"/>
                <w:szCs w:val="18"/>
                <w:lang w:val="el-GR"/>
              </w:rPr>
            </w:pPr>
            <w:r w:rsidRPr="00A811A0">
              <w:rPr>
                <w:rFonts w:ascii="Arial" w:hAnsi="Arial" w:cs="Arial"/>
                <w:kern w:val="18"/>
                <w:sz w:val="18"/>
                <w:szCs w:val="18"/>
                <w:lang w:val="el-GR"/>
              </w:rPr>
              <w:t>12</w:t>
            </w:r>
          </w:p>
        </w:tc>
      </w:tr>
      <w:tr w:rsidR="00A811A0" w:rsidRPr="00A811A0" w14:paraId="5F17A8DC" w14:textId="77777777" w:rsidTr="00A811A0">
        <w:trPr>
          <w:trHeight w:val="1263"/>
          <w:jc w:val="center"/>
        </w:trPr>
        <w:tc>
          <w:tcPr>
            <w:tcW w:w="562" w:type="dxa"/>
            <w:vAlign w:val="center"/>
          </w:tcPr>
          <w:p w14:paraId="1192F06D"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2</w:t>
            </w:r>
          </w:p>
        </w:tc>
        <w:tc>
          <w:tcPr>
            <w:tcW w:w="5671" w:type="dxa"/>
            <w:vAlign w:val="center"/>
          </w:tcPr>
          <w:p w14:paraId="4D1E3613"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 xml:space="preserve">Αποδεδειγμένη επαγγελματική εμπειρία στον υποχρεωτικό έλεγχο οικονομικών καταστάσεων σε νόμιμο ελεγκτή ή νόμιμο ελεγκτικό γραφείο μετά την απόκτηση του επαγγελματικού προσόντος </w:t>
            </w:r>
          </w:p>
          <w:p w14:paraId="1B0D64C0"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Θα δοθούν μέχρι 10 βαθμοί ανάλογα με την περίοδο εμπειρίας - ΜΕΓΙΣΤΟ 2 ΧΡΟΝΙΑ.</w:t>
            </w:r>
          </w:p>
        </w:tc>
        <w:tc>
          <w:tcPr>
            <w:tcW w:w="3117" w:type="dxa"/>
            <w:vAlign w:val="center"/>
          </w:tcPr>
          <w:p w14:paraId="6BDED82A" w14:textId="77777777" w:rsidR="00583FE5" w:rsidRPr="00A811A0" w:rsidRDefault="00583FE5" w:rsidP="00A811A0">
            <w:pPr>
              <w:widowControl w:val="0"/>
              <w:spacing w:before="60" w:line="240" w:lineRule="auto"/>
              <w:jc w:val="center"/>
              <w:rPr>
                <w:rFonts w:ascii="Arial" w:hAnsi="Arial" w:cs="Arial"/>
                <w:kern w:val="18"/>
                <w:sz w:val="18"/>
                <w:szCs w:val="18"/>
                <w:lang w:val="el-GR"/>
              </w:rPr>
            </w:pPr>
            <w:r w:rsidRPr="00A811A0">
              <w:rPr>
                <w:rFonts w:ascii="Arial" w:hAnsi="Arial" w:cs="Arial"/>
                <w:kern w:val="18"/>
                <w:sz w:val="18"/>
                <w:szCs w:val="18"/>
                <w:lang w:val="el-GR"/>
              </w:rPr>
              <w:t>10</w:t>
            </w:r>
          </w:p>
        </w:tc>
      </w:tr>
      <w:tr w:rsidR="00A811A0" w:rsidRPr="00A811A0" w14:paraId="444BC976" w14:textId="77777777" w:rsidTr="00A811A0">
        <w:trPr>
          <w:trHeight w:val="1125"/>
          <w:jc w:val="center"/>
        </w:trPr>
        <w:tc>
          <w:tcPr>
            <w:tcW w:w="562" w:type="dxa"/>
            <w:vAlign w:val="center"/>
          </w:tcPr>
          <w:p w14:paraId="29B5E574"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3</w:t>
            </w:r>
          </w:p>
        </w:tc>
        <w:tc>
          <w:tcPr>
            <w:tcW w:w="5671" w:type="dxa"/>
            <w:vAlign w:val="center"/>
          </w:tcPr>
          <w:p w14:paraId="42304B56"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 xml:space="preserve">Αποδεδειγμένη εμπειρία στον έλεγχο ή επαλήθευση συγχρηματοδοτούμενων προγραμμάτων </w:t>
            </w:r>
          </w:p>
          <w:p w14:paraId="51C704EC"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Θα δοθούν μέχρι 16 βαθμοί ανάλογα με την περίοδο εμπειρίας - ΜΕΓΙΣΤΟ 3 ΧΡΟΝΙΑ.</w:t>
            </w:r>
          </w:p>
        </w:tc>
        <w:tc>
          <w:tcPr>
            <w:tcW w:w="3117" w:type="dxa"/>
            <w:vAlign w:val="center"/>
          </w:tcPr>
          <w:p w14:paraId="5B14B40A" w14:textId="77777777" w:rsidR="00583FE5" w:rsidRPr="00A811A0" w:rsidRDefault="00583FE5" w:rsidP="00A811A0">
            <w:pPr>
              <w:widowControl w:val="0"/>
              <w:spacing w:before="60" w:line="240" w:lineRule="auto"/>
              <w:jc w:val="center"/>
              <w:rPr>
                <w:rFonts w:ascii="Arial" w:hAnsi="Arial" w:cs="Arial"/>
                <w:kern w:val="18"/>
                <w:sz w:val="18"/>
                <w:szCs w:val="18"/>
                <w:lang w:val="en-GB"/>
              </w:rPr>
            </w:pPr>
            <w:r w:rsidRPr="00A811A0">
              <w:rPr>
                <w:rFonts w:ascii="Arial" w:hAnsi="Arial" w:cs="Arial"/>
                <w:kern w:val="18"/>
                <w:sz w:val="18"/>
                <w:szCs w:val="18"/>
                <w:lang w:val="el-GR"/>
              </w:rPr>
              <w:t>1</w:t>
            </w:r>
            <w:r w:rsidRPr="00A811A0">
              <w:rPr>
                <w:rFonts w:ascii="Arial" w:hAnsi="Arial" w:cs="Arial"/>
                <w:kern w:val="18"/>
                <w:sz w:val="18"/>
                <w:szCs w:val="18"/>
                <w:lang w:val="en-GB"/>
              </w:rPr>
              <w:t>6</w:t>
            </w:r>
          </w:p>
        </w:tc>
      </w:tr>
      <w:tr w:rsidR="00A811A0" w:rsidRPr="00A811A0" w14:paraId="438C4886" w14:textId="77777777" w:rsidTr="00A811A0">
        <w:trPr>
          <w:trHeight w:val="830"/>
          <w:jc w:val="center"/>
        </w:trPr>
        <w:tc>
          <w:tcPr>
            <w:tcW w:w="562" w:type="dxa"/>
            <w:vAlign w:val="center"/>
          </w:tcPr>
          <w:p w14:paraId="2A7C87F0"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4</w:t>
            </w:r>
          </w:p>
        </w:tc>
        <w:tc>
          <w:tcPr>
            <w:tcW w:w="5671" w:type="dxa"/>
            <w:vAlign w:val="center"/>
          </w:tcPr>
          <w:p w14:paraId="0677D463"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Κατάκτηση 1</w:t>
            </w:r>
            <w:r w:rsidRPr="00A811A0">
              <w:rPr>
                <w:rFonts w:ascii="Arial" w:hAnsi="Arial" w:cs="Arial"/>
                <w:kern w:val="18"/>
                <w:sz w:val="18"/>
                <w:szCs w:val="18"/>
                <w:vertAlign w:val="superscript"/>
                <w:lang w:val="el-GR"/>
              </w:rPr>
              <w:t>ου</w:t>
            </w:r>
            <w:r w:rsidRPr="00A811A0">
              <w:rPr>
                <w:rFonts w:ascii="Arial" w:hAnsi="Arial" w:cs="Arial"/>
                <w:kern w:val="18"/>
                <w:sz w:val="18"/>
                <w:szCs w:val="18"/>
                <w:lang w:val="el-GR"/>
              </w:rPr>
              <w:t xml:space="preserve"> Παγκύπριου βραβείου σε οποιοδήποτε επίπεδο εξετάσεων για απόκτηση επαγγελματικού λογιστικού προσόντος (π.χ. ICAEW/ACCA)</w:t>
            </w:r>
          </w:p>
        </w:tc>
        <w:tc>
          <w:tcPr>
            <w:tcW w:w="3117" w:type="dxa"/>
            <w:vAlign w:val="center"/>
          </w:tcPr>
          <w:p w14:paraId="3E1B9768" w14:textId="77777777" w:rsidR="00583FE5" w:rsidRPr="00A811A0" w:rsidRDefault="00583FE5" w:rsidP="00A811A0">
            <w:pPr>
              <w:widowControl w:val="0"/>
              <w:spacing w:before="60" w:line="240" w:lineRule="auto"/>
              <w:jc w:val="center"/>
              <w:rPr>
                <w:rFonts w:ascii="Arial" w:hAnsi="Arial" w:cs="Arial"/>
                <w:kern w:val="18"/>
                <w:sz w:val="18"/>
                <w:szCs w:val="18"/>
                <w:lang w:val="en-GB"/>
              </w:rPr>
            </w:pPr>
            <w:r w:rsidRPr="00A811A0">
              <w:rPr>
                <w:rFonts w:ascii="Arial" w:hAnsi="Arial" w:cs="Arial"/>
                <w:kern w:val="18"/>
                <w:sz w:val="18"/>
                <w:szCs w:val="18"/>
                <w:lang w:val="en-GB"/>
              </w:rPr>
              <w:t>2</w:t>
            </w:r>
          </w:p>
        </w:tc>
      </w:tr>
      <w:tr w:rsidR="00A811A0" w:rsidRPr="00A811A0" w14:paraId="09AE850D" w14:textId="77777777" w:rsidTr="00A811A0">
        <w:trPr>
          <w:trHeight w:val="417"/>
          <w:jc w:val="center"/>
        </w:trPr>
        <w:tc>
          <w:tcPr>
            <w:tcW w:w="562" w:type="dxa"/>
            <w:vAlign w:val="center"/>
          </w:tcPr>
          <w:p w14:paraId="77C70B0D" w14:textId="77777777" w:rsidR="00583FE5" w:rsidRPr="00A811A0" w:rsidRDefault="00583FE5" w:rsidP="00A811A0">
            <w:pPr>
              <w:widowControl w:val="0"/>
              <w:spacing w:before="60" w:line="240" w:lineRule="auto"/>
              <w:rPr>
                <w:rFonts w:ascii="Arial" w:hAnsi="Arial" w:cs="Arial"/>
                <w:kern w:val="18"/>
                <w:sz w:val="18"/>
                <w:szCs w:val="18"/>
                <w:lang w:val="el-GR"/>
              </w:rPr>
            </w:pPr>
          </w:p>
        </w:tc>
        <w:tc>
          <w:tcPr>
            <w:tcW w:w="5671" w:type="dxa"/>
            <w:vAlign w:val="center"/>
          </w:tcPr>
          <w:p w14:paraId="29FFF1C7" w14:textId="77777777" w:rsidR="00583FE5" w:rsidRPr="00A811A0" w:rsidRDefault="00583FE5" w:rsidP="00A811A0">
            <w:pPr>
              <w:widowControl w:val="0"/>
              <w:spacing w:before="60" w:line="240" w:lineRule="auto"/>
              <w:rPr>
                <w:rFonts w:ascii="Arial" w:hAnsi="Arial" w:cs="Arial"/>
                <w:kern w:val="18"/>
                <w:sz w:val="18"/>
                <w:szCs w:val="18"/>
                <w:lang w:val="el-GR"/>
              </w:rPr>
            </w:pPr>
            <w:r w:rsidRPr="00A811A0">
              <w:rPr>
                <w:rFonts w:ascii="Arial" w:hAnsi="Arial" w:cs="Arial"/>
                <w:kern w:val="18"/>
                <w:sz w:val="18"/>
                <w:szCs w:val="18"/>
                <w:lang w:val="el-GR"/>
              </w:rPr>
              <w:t>ΣΥΝΟΛΟ</w:t>
            </w:r>
          </w:p>
        </w:tc>
        <w:tc>
          <w:tcPr>
            <w:tcW w:w="3117" w:type="dxa"/>
            <w:vAlign w:val="center"/>
          </w:tcPr>
          <w:p w14:paraId="5AEB231A" w14:textId="77777777" w:rsidR="00583FE5" w:rsidRPr="00A811A0" w:rsidRDefault="00583FE5" w:rsidP="00A811A0">
            <w:pPr>
              <w:widowControl w:val="0"/>
              <w:spacing w:before="60" w:line="240" w:lineRule="auto"/>
              <w:jc w:val="center"/>
              <w:rPr>
                <w:rFonts w:ascii="Arial" w:hAnsi="Arial" w:cs="Arial"/>
                <w:kern w:val="18"/>
                <w:sz w:val="18"/>
                <w:szCs w:val="18"/>
                <w:lang w:val="en-GB"/>
              </w:rPr>
            </w:pPr>
            <w:r w:rsidRPr="00A811A0">
              <w:rPr>
                <w:rFonts w:ascii="Arial" w:hAnsi="Arial" w:cs="Arial"/>
                <w:kern w:val="18"/>
                <w:sz w:val="18"/>
                <w:szCs w:val="18"/>
                <w:lang w:val="en-GB"/>
              </w:rPr>
              <w:t>40</w:t>
            </w:r>
          </w:p>
        </w:tc>
      </w:tr>
    </w:tbl>
    <w:p w14:paraId="0732E6B8" w14:textId="77777777" w:rsidR="00583FE5" w:rsidRPr="00A811A0" w:rsidRDefault="00583FE5" w:rsidP="00A811A0">
      <w:pPr>
        <w:widowControl w:val="0"/>
        <w:spacing w:before="60" w:after="0" w:line="240" w:lineRule="auto"/>
        <w:ind w:firstLine="284"/>
        <w:jc w:val="both"/>
        <w:rPr>
          <w:rFonts w:ascii="Arial" w:hAnsi="Arial" w:cs="Arial"/>
          <w:kern w:val="18"/>
          <w:sz w:val="18"/>
          <w:szCs w:val="18"/>
          <w:lang w:val="el-GR"/>
        </w:rPr>
      </w:pPr>
      <w:r w:rsidRPr="00A811A0">
        <w:rPr>
          <w:rFonts w:ascii="Arial" w:hAnsi="Arial" w:cs="Arial"/>
          <w:kern w:val="18"/>
          <w:sz w:val="18"/>
          <w:szCs w:val="18"/>
          <w:lang w:val="el-GR"/>
        </w:rPr>
        <w:t>Σε περίπτωση ισοψηφίας θα γίνεται κατάταξη βάσει του συνολικού βαθμού απολυτηρίου μέσης εκπαίδευσης και σε περίπτωση που εξακολουθεί να υφίσταται ισοψηφία, θα γίνει κλήρωση για επιλογή των υποψηφίων.  Σε περίπτωση όπου, δεν είναι δυνατή η κατάταξη με βάση τον βαθμό απολυτηρίου μέσης εκπαίδευσης για την κατάταξη των υποψηφίων, θα γίνει απευθείας κλήρωση για την επιλογή των υποψηφίων.</w:t>
      </w:r>
    </w:p>
    <w:bookmarkEnd w:id="1"/>
    <w:p w14:paraId="46C9CDA7" w14:textId="77777777" w:rsidR="00A52935" w:rsidRPr="00A811A0" w:rsidRDefault="00A52935" w:rsidP="00A811A0">
      <w:pPr>
        <w:widowControl w:val="0"/>
        <w:spacing w:before="60" w:after="0" w:line="240" w:lineRule="auto"/>
        <w:ind w:firstLine="284"/>
        <w:jc w:val="both"/>
        <w:rPr>
          <w:rFonts w:ascii="Arial" w:hAnsi="Arial" w:cs="Arial"/>
          <w:kern w:val="18"/>
          <w:sz w:val="18"/>
          <w:szCs w:val="18"/>
          <w:lang w:val="el-GR"/>
        </w:rPr>
      </w:pPr>
      <w:r w:rsidRPr="00A811A0">
        <w:rPr>
          <w:rFonts w:ascii="Arial" w:hAnsi="Arial" w:cs="Arial"/>
          <w:kern w:val="18"/>
          <w:sz w:val="18"/>
          <w:szCs w:val="18"/>
          <w:lang w:val="el-GR"/>
        </w:rPr>
        <w:t>5. Σημειώσεις:</w:t>
      </w:r>
    </w:p>
    <w:p w14:paraId="46E34AF9" w14:textId="77777777" w:rsidR="00764001" w:rsidRPr="00A811A0" w:rsidRDefault="00764001" w:rsidP="00A811A0">
      <w:pPr>
        <w:widowControl w:val="0"/>
        <w:spacing w:before="60" w:after="0" w:line="240" w:lineRule="auto"/>
        <w:ind w:firstLine="284"/>
        <w:jc w:val="both"/>
        <w:rPr>
          <w:rFonts w:ascii="Arial" w:hAnsi="Arial" w:cs="Arial"/>
          <w:kern w:val="18"/>
          <w:sz w:val="18"/>
          <w:szCs w:val="18"/>
          <w:lang w:val="el-GR"/>
        </w:rPr>
      </w:pPr>
      <w:r w:rsidRPr="00A811A0">
        <w:rPr>
          <w:rFonts w:ascii="Arial" w:hAnsi="Arial" w:cs="Arial"/>
          <w:kern w:val="18"/>
          <w:sz w:val="18"/>
          <w:szCs w:val="18"/>
          <w:lang w:val="el-GR"/>
        </w:rPr>
        <w:t>Οι θέσεις αφορούν:</w:t>
      </w:r>
    </w:p>
    <w:p w14:paraId="18BFFAFE" w14:textId="77777777" w:rsidR="00764001" w:rsidRPr="00A811A0" w:rsidRDefault="00211345" w:rsidP="00A811A0">
      <w:pPr>
        <w:pStyle w:val="ListParagraph"/>
        <w:widowControl w:val="0"/>
        <w:numPr>
          <w:ilvl w:val="0"/>
          <w:numId w:val="6"/>
        </w:numPr>
        <w:spacing w:before="60" w:after="0" w:line="240" w:lineRule="auto"/>
        <w:ind w:hanging="294"/>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Μέχρι </w:t>
      </w:r>
      <w:r w:rsidR="00F33F87" w:rsidRPr="00A811A0">
        <w:rPr>
          <w:rFonts w:ascii="Arial" w:hAnsi="Arial" w:cs="Arial"/>
          <w:kern w:val="18"/>
          <w:sz w:val="18"/>
          <w:szCs w:val="18"/>
          <w:lang w:val="el-GR"/>
        </w:rPr>
        <w:t>22</w:t>
      </w:r>
      <w:r w:rsidR="00764001" w:rsidRPr="00A811A0">
        <w:rPr>
          <w:rFonts w:ascii="Arial" w:hAnsi="Arial" w:cs="Arial"/>
          <w:kern w:val="18"/>
          <w:sz w:val="18"/>
          <w:szCs w:val="18"/>
          <w:lang w:val="el-GR"/>
        </w:rPr>
        <w:t xml:space="preserve"> (</w:t>
      </w:r>
      <w:r w:rsidR="00F33F87" w:rsidRPr="00A811A0">
        <w:rPr>
          <w:rFonts w:ascii="Arial" w:hAnsi="Arial" w:cs="Arial"/>
          <w:kern w:val="18"/>
          <w:sz w:val="18"/>
          <w:szCs w:val="18"/>
          <w:lang w:val="el-GR"/>
        </w:rPr>
        <w:t>είκοσι δύο</w:t>
      </w:r>
      <w:r w:rsidR="00764001" w:rsidRPr="00A811A0">
        <w:rPr>
          <w:rFonts w:ascii="Arial" w:hAnsi="Arial" w:cs="Arial"/>
          <w:kern w:val="18"/>
          <w:sz w:val="18"/>
          <w:szCs w:val="18"/>
          <w:lang w:val="el-GR"/>
        </w:rPr>
        <w:t>) Λογιστές –</w:t>
      </w:r>
      <w:r w:rsidR="0012736E" w:rsidRPr="00A811A0">
        <w:rPr>
          <w:rFonts w:ascii="Arial" w:hAnsi="Arial" w:cs="Arial"/>
          <w:kern w:val="18"/>
          <w:sz w:val="18"/>
          <w:szCs w:val="18"/>
          <w:lang w:val="el-GR"/>
        </w:rPr>
        <w:t xml:space="preserve"> </w:t>
      </w:r>
      <w:r w:rsidR="00764001" w:rsidRPr="00A811A0">
        <w:rPr>
          <w:rFonts w:ascii="Arial" w:hAnsi="Arial" w:cs="Arial"/>
          <w:kern w:val="18"/>
          <w:sz w:val="18"/>
          <w:szCs w:val="18"/>
          <w:lang w:val="el-GR"/>
        </w:rPr>
        <w:t>για τοποθέτηση στη Διεύθυνση Επαληθεύσεων και Πιστοποίησης του Γενικού Λογιστηρίου</w:t>
      </w:r>
      <w:r w:rsidR="009779B3" w:rsidRPr="00A811A0">
        <w:rPr>
          <w:rFonts w:ascii="Arial" w:hAnsi="Arial" w:cs="Arial"/>
          <w:kern w:val="18"/>
          <w:sz w:val="18"/>
          <w:szCs w:val="18"/>
          <w:lang w:val="el-GR"/>
        </w:rPr>
        <w:t>, στη Διεύθυνση Δημοσίων Συμβάσεων του Γενικού Λογιστηρίου</w:t>
      </w:r>
      <w:r w:rsidR="00764001" w:rsidRPr="00A811A0">
        <w:rPr>
          <w:rFonts w:ascii="Arial" w:hAnsi="Arial" w:cs="Arial"/>
          <w:kern w:val="18"/>
          <w:sz w:val="18"/>
          <w:szCs w:val="18"/>
          <w:lang w:val="el-GR"/>
        </w:rPr>
        <w:t xml:space="preserve"> και</w:t>
      </w:r>
      <w:r w:rsidR="00EF7FF8" w:rsidRPr="00A811A0">
        <w:rPr>
          <w:rFonts w:ascii="Arial" w:hAnsi="Arial" w:cs="Arial"/>
          <w:kern w:val="18"/>
          <w:sz w:val="18"/>
          <w:szCs w:val="18"/>
          <w:lang w:val="el-GR"/>
        </w:rPr>
        <w:t xml:space="preserve"> </w:t>
      </w:r>
      <w:r w:rsidR="00764001" w:rsidRPr="00A811A0">
        <w:rPr>
          <w:rFonts w:ascii="Arial" w:hAnsi="Arial" w:cs="Arial"/>
          <w:kern w:val="18"/>
          <w:sz w:val="18"/>
          <w:szCs w:val="18"/>
          <w:lang w:val="el-GR"/>
        </w:rPr>
        <w:t>στη Μονάδα Ευρωπαϊκών Ταμείων του Υπουργείου Εσωτερικών</w:t>
      </w:r>
      <w:r w:rsidR="000B3936" w:rsidRPr="00A811A0">
        <w:rPr>
          <w:rFonts w:ascii="Arial" w:hAnsi="Arial" w:cs="Arial"/>
          <w:kern w:val="18"/>
          <w:sz w:val="18"/>
          <w:szCs w:val="18"/>
          <w:lang w:val="el-GR"/>
        </w:rPr>
        <w:t>.</w:t>
      </w:r>
    </w:p>
    <w:p w14:paraId="180C8F29" w14:textId="77777777" w:rsidR="00B90544" w:rsidRPr="00A811A0" w:rsidRDefault="00B90544"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Με βάση τον υπό αναφορά Νόμο, τα άτομα που προσλαμβάνονται </w:t>
      </w:r>
      <w:r w:rsidR="00A52935" w:rsidRPr="00A811A0">
        <w:rPr>
          <w:rFonts w:ascii="Arial" w:hAnsi="Arial" w:cs="Arial"/>
          <w:kern w:val="18"/>
          <w:sz w:val="18"/>
          <w:szCs w:val="18"/>
          <w:lang w:val="el-GR"/>
        </w:rPr>
        <w:t xml:space="preserve">για έργα τακτής προθεσμίας </w:t>
      </w:r>
      <w:r w:rsidRPr="00A811A0">
        <w:rPr>
          <w:rFonts w:ascii="Arial" w:hAnsi="Arial" w:cs="Arial"/>
          <w:kern w:val="18"/>
          <w:sz w:val="18"/>
          <w:szCs w:val="18"/>
          <w:lang w:val="el-GR"/>
        </w:rPr>
        <w:t>δε θα μετατρέπονται σε εργοδοτούμενους αορίστου χρόνου. Σημειώνεται επίσης ότι σε περίπτωση που τα Προγράμματα ολοκληρωθούν πριν τη λήξη της σύμβασης ή/και κατά την ετήσια αξιολόγηση του ο εργοδοτούμενος κριθεί ανεπαρκής, τότε τυχγάνουν εφαρμογής οι διατάξεις του περί Τερματισμού Απασχολήσεως Νόμου του 1967 έως 2003.</w:t>
      </w:r>
    </w:p>
    <w:p w14:paraId="34DCC3CE" w14:textId="77777777" w:rsidR="00A52935" w:rsidRPr="00A811A0" w:rsidRDefault="00A52935"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Κάθε εργοδοτούμενος ορισμένου χρόνου οφείλει να συμμορφώνεται προς τις υποχρεώσεις που απορρέουν από την εκάστοτε σε ισχύ οικεία νομοθεσία </w:t>
      </w:r>
      <w:r w:rsidR="00853914" w:rsidRPr="00A811A0">
        <w:rPr>
          <w:rFonts w:ascii="Arial" w:hAnsi="Arial" w:cs="Arial"/>
          <w:kern w:val="18"/>
          <w:sz w:val="18"/>
          <w:szCs w:val="18"/>
          <w:lang w:val="el-GR"/>
        </w:rPr>
        <w:t>και τις σύμφωνες προς αυτή διοικητικές οδηγίες και εγκύκλιες διαταγές σε σχέση με τα καθήκοντα και τις υποχρεώσεις που ισχύουν αντιστοίχως για τους δημόσιους υπαλλήλους.</w:t>
      </w:r>
    </w:p>
    <w:p w14:paraId="14507A40" w14:textId="77777777" w:rsidR="00BF7118" w:rsidRPr="00A811A0" w:rsidRDefault="00BF7118"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Το μισθολογικό κόστος θα συγχρηματοδοτηθεί από τ</w:t>
      </w:r>
      <w:r w:rsidR="009779B3" w:rsidRPr="00A811A0">
        <w:rPr>
          <w:rFonts w:ascii="Arial" w:hAnsi="Arial" w:cs="Arial"/>
          <w:kern w:val="18"/>
          <w:sz w:val="18"/>
          <w:szCs w:val="18"/>
          <w:lang w:val="el-GR"/>
        </w:rPr>
        <w:t>α Ταμεία Πολιτικής</w:t>
      </w:r>
      <w:r w:rsidRPr="00A811A0">
        <w:rPr>
          <w:rFonts w:ascii="Arial" w:hAnsi="Arial" w:cs="Arial"/>
          <w:kern w:val="18"/>
          <w:sz w:val="18"/>
          <w:szCs w:val="18"/>
          <w:lang w:val="el-GR"/>
        </w:rPr>
        <w:t xml:space="preserve"> Συνοχής</w:t>
      </w:r>
      <w:r w:rsidR="0012736E" w:rsidRPr="00A811A0">
        <w:rPr>
          <w:rFonts w:ascii="Arial" w:hAnsi="Arial" w:cs="Arial"/>
          <w:kern w:val="18"/>
          <w:sz w:val="18"/>
          <w:szCs w:val="18"/>
          <w:lang w:val="el-GR"/>
        </w:rPr>
        <w:t>,</w:t>
      </w:r>
      <w:r w:rsidR="00CF03B8" w:rsidRPr="00A811A0">
        <w:rPr>
          <w:rFonts w:ascii="Arial" w:hAnsi="Arial"/>
          <w:kern w:val="18"/>
          <w:sz w:val="18"/>
          <w:lang w:val="el-GR"/>
        </w:rPr>
        <w:t xml:space="preserve"> </w:t>
      </w:r>
      <w:r w:rsidR="00CF03B8" w:rsidRPr="00A811A0">
        <w:rPr>
          <w:rFonts w:ascii="Arial" w:hAnsi="Arial" w:cs="Arial"/>
          <w:kern w:val="18"/>
          <w:sz w:val="18"/>
          <w:szCs w:val="18"/>
          <w:lang w:val="el-GR"/>
        </w:rPr>
        <w:t>το Ευρωπαϊκό Ταμείο Θάλασσας, Αλιείας και Υδατοκαλλιέργειας</w:t>
      </w:r>
      <w:r w:rsidR="009779B3" w:rsidRPr="00A811A0">
        <w:rPr>
          <w:rFonts w:ascii="Arial" w:hAnsi="Arial" w:cs="Arial"/>
          <w:kern w:val="18"/>
          <w:sz w:val="18"/>
          <w:szCs w:val="18"/>
          <w:lang w:val="el-GR"/>
        </w:rPr>
        <w:t>, το Ταμείο Ανάκαμψης και Ανθεκτικότητας</w:t>
      </w:r>
      <w:r w:rsidR="0012736E" w:rsidRPr="00A811A0">
        <w:rPr>
          <w:rFonts w:ascii="Arial" w:hAnsi="Arial" w:cs="Arial"/>
          <w:kern w:val="18"/>
          <w:sz w:val="18"/>
          <w:szCs w:val="18"/>
          <w:lang w:val="el-GR"/>
        </w:rPr>
        <w:t>,</w:t>
      </w:r>
      <w:r w:rsidRPr="00A811A0">
        <w:rPr>
          <w:rFonts w:ascii="Arial" w:hAnsi="Arial" w:cs="Arial"/>
          <w:kern w:val="18"/>
          <w:sz w:val="18"/>
          <w:szCs w:val="18"/>
          <w:lang w:val="el-GR"/>
        </w:rPr>
        <w:t xml:space="preserve"> τα Ταμεία Εσωτερικών Υποθέσεων</w:t>
      </w:r>
      <w:r w:rsidR="00803B5B" w:rsidRPr="00A811A0">
        <w:rPr>
          <w:rFonts w:ascii="Arial" w:hAnsi="Arial" w:cs="Arial"/>
          <w:kern w:val="18"/>
          <w:sz w:val="18"/>
          <w:szCs w:val="18"/>
          <w:lang w:val="el-GR"/>
        </w:rPr>
        <w:t xml:space="preserve">, </w:t>
      </w:r>
      <w:r w:rsidR="00EF7FF8" w:rsidRPr="00A811A0">
        <w:rPr>
          <w:rFonts w:ascii="Arial" w:hAnsi="Arial" w:cs="Arial"/>
          <w:kern w:val="18"/>
          <w:sz w:val="18"/>
          <w:szCs w:val="18"/>
          <w:lang w:val="el-GR"/>
        </w:rPr>
        <w:t>τους Χρηματοδοτικού Μηχανισμούς</w:t>
      </w:r>
      <w:r w:rsidR="00803B5B" w:rsidRPr="00A811A0">
        <w:rPr>
          <w:rFonts w:ascii="Arial" w:hAnsi="Arial" w:cs="Arial"/>
          <w:kern w:val="18"/>
          <w:sz w:val="18"/>
          <w:szCs w:val="18"/>
          <w:lang w:val="el-GR"/>
        </w:rPr>
        <w:t xml:space="preserve"> ΕΟΧ-Νορβηγίας και τον Μηχανισμό Ελβετικής </w:t>
      </w:r>
      <w:r w:rsidR="008B5E81" w:rsidRPr="00A811A0">
        <w:rPr>
          <w:rFonts w:ascii="Arial" w:hAnsi="Arial" w:cs="Arial"/>
          <w:kern w:val="18"/>
          <w:sz w:val="18"/>
          <w:szCs w:val="18"/>
          <w:lang w:val="el-GR"/>
        </w:rPr>
        <w:t>Συνεισφοράς</w:t>
      </w:r>
      <w:r w:rsidR="0012736E" w:rsidRPr="00A811A0">
        <w:rPr>
          <w:rFonts w:ascii="Arial" w:hAnsi="Arial" w:cs="Arial"/>
          <w:kern w:val="18"/>
          <w:sz w:val="18"/>
          <w:szCs w:val="18"/>
          <w:lang w:val="el-GR"/>
        </w:rPr>
        <w:t xml:space="preserve"> αναλόγως της εργασίας που θα εκτελείται για τα επί μέρους Προγράμματα</w:t>
      </w:r>
      <w:r w:rsidRPr="00A811A0">
        <w:rPr>
          <w:rFonts w:ascii="Arial" w:hAnsi="Arial" w:cs="Arial"/>
          <w:kern w:val="18"/>
          <w:sz w:val="18"/>
          <w:szCs w:val="18"/>
          <w:lang w:val="el-GR"/>
        </w:rPr>
        <w:t>.</w:t>
      </w:r>
    </w:p>
    <w:p w14:paraId="6E6E9681" w14:textId="77777777" w:rsidR="00635ED6" w:rsidRPr="00A811A0" w:rsidRDefault="00635ED6"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Οι εργοδοτούμενοι που είναι και κάτοχοι πανεπιστημιακού διπλώματος ή τίτλου ή ισότιμου προσόντος, θα τοποθετούνται στην αρχική βαθμίδα της κλίμακας Α11.  Της ίδιας μεταχείρισης θα τυγχάνουν και υπάλληλοι που αποκτούν πανεπιστημιακό δίπλωμα ή τίτλο ή ισότιμο προσόν μετά το διορισμό τους, η τοποθέτηση του</w:t>
      </w:r>
      <w:r w:rsidR="00D60BBE" w:rsidRPr="00A811A0">
        <w:rPr>
          <w:rFonts w:ascii="Arial" w:hAnsi="Arial" w:cs="Arial"/>
          <w:kern w:val="18"/>
          <w:sz w:val="18"/>
          <w:szCs w:val="18"/>
          <w:lang w:val="el-GR"/>
        </w:rPr>
        <w:t>ς</w:t>
      </w:r>
      <w:r w:rsidRPr="00A811A0">
        <w:rPr>
          <w:rFonts w:ascii="Arial" w:hAnsi="Arial" w:cs="Arial"/>
          <w:kern w:val="18"/>
          <w:sz w:val="18"/>
          <w:szCs w:val="18"/>
          <w:lang w:val="el-GR"/>
        </w:rPr>
        <w:t xml:space="preserve"> όμως στην αρχική βαθμίδα της Κλίμακας Α11, θα γίνεται από την ημερομηνία απόκτησης του προσόντος.</w:t>
      </w:r>
    </w:p>
    <w:p w14:paraId="2390C7FA" w14:textId="77777777" w:rsidR="000C30A8" w:rsidRPr="00A811A0" w:rsidRDefault="000C30A8"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Μισθολογικές κλίμακες </w:t>
      </w:r>
    </w:p>
    <w:p w14:paraId="04549811" w14:textId="77777777" w:rsidR="000C30A8" w:rsidRPr="00A811A0" w:rsidRDefault="006E6CF0" w:rsidP="00A811A0">
      <w:pPr>
        <w:pStyle w:val="ListParagraph"/>
        <w:widowControl w:val="0"/>
        <w:spacing w:before="60" w:after="0" w:line="240" w:lineRule="auto"/>
        <w:ind w:left="709" w:firstLine="11"/>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Ετήσιος Βασικός Μισθός - </w:t>
      </w:r>
      <w:r w:rsidR="000C30A8" w:rsidRPr="00A811A0">
        <w:rPr>
          <w:rFonts w:ascii="Arial" w:hAnsi="Arial" w:cs="Arial"/>
          <w:kern w:val="18"/>
          <w:sz w:val="18"/>
          <w:szCs w:val="18"/>
          <w:lang w:val="el-GR"/>
        </w:rPr>
        <w:t>Συνδυασμένες Κλίμακες</w:t>
      </w:r>
      <w:r w:rsidR="00E80276" w:rsidRPr="00A811A0">
        <w:rPr>
          <w:rFonts w:ascii="Arial" w:hAnsi="Arial" w:cs="Arial"/>
          <w:kern w:val="18"/>
          <w:sz w:val="18"/>
          <w:szCs w:val="18"/>
          <w:lang w:val="el-GR"/>
        </w:rPr>
        <w:t xml:space="preserve"> Α9, Α11, Α12 –</w:t>
      </w:r>
      <w:r w:rsidR="00C839DD" w:rsidRPr="00A811A0">
        <w:rPr>
          <w:rFonts w:ascii="Arial" w:hAnsi="Arial" w:cs="Arial"/>
          <w:kern w:val="18"/>
          <w:sz w:val="18"/>
          <w:szCs w:val="18"/>
          <w:lang w:val="el-GR"/>
        </w:rPr>
        <w:t xml:space="preserve"> μειωμένες κατά 10%.</w:t>
      </w:r>
      <w:r w:rsidR="00E80276" w:rsidRPr="00A811A0">
        <w:rPr>
          <w:rFonts w:ascii="Arial" w:hAnsi="Arial" w:cs="Arial"/>
          <w:kern w:val="18"/>
          <w:sz w:val="18"/>
          <w:szCs w:val="18"/>
          <w:lang w:val="el-GR"/>
        </w:rPr>
        <w:t xml:space="preserve"> </w:t>
      </w:r>
      <w:r w:rsidR="00C839DD" w:rsidRPr="00A811A0">
        <w:rPr>
          <w:rFonts w:ascii="Arial" w:hAnsi="Arial" w:cs="Arial"/>
          <w:kern w:val="18"/>
          <w:sz w:val="18"/>
          <w:szCs w:val="18"/>
          <w:lang w:val="el-GR"/>
        </w:rPr>
        <w:t>Καταβάλλεται πρόσθετα</w:t>
      </w:r>
      <w:r w:rsidR="00E80276" w:rsidRPr="00A811A0">
        <w:rPr>
          <w:rFonts w:ascii="Arial" w:hAnsi="Arial" w:cs="Arial"/>
          <w:kern w:val="18"/>
          <w:sz w:val="18"/>
          <w:szCs w:val="18"/>
          <w:lang w:val="el-GR"/>
        </w:rPr>
        <w:t xml:space="preserve"> 13</w:t>
      </w:r>
      <w:r w:rsidR="00E80276" w:rsidRPr="00A811A0">
        <w:rPr>
          <w:rFonts w:ascii="Arial" w:hAnsi="Arial" w:cs="Arial"/>
          <w:kern w:val="18"/>
          <w:sz w:val="18"/>
          <w:szCs w:val="18"/>
          <w:vertAlign w:val="superscript"/>
          <w:lang w:val="el-GR"/>
        </w:rPr>
        <w:t>ο</w:t>
      </w:r>
      <w:r w:rsidR="00C839DD" w:rsidRPr="00A811A0">
        <w:rPr>
          <w:rFonts w:ascii="Arial" w:hAnsi="Arial" w:cs="Arial"/>
          <w:kern w:val="18"/>
          <w:sz w:val="18"/>
          <w:szCs w:val="18"/>
          <w:vertAlign w:val="superscript"/>
          <w:lang w:val="el-GR"/>
        </w:rPr>
        <w:t>ς</w:t>
      </w:r>
      <w:r w:rsidR="00C839DD" w:rsidRPr="00A811A0">
        <w:rPr>
          <w:rFonts w:ascii="Arial" w:hAnsi="Arial" w:cs="Arial"/>
          <w:kern w:val="18"/>
          <w:sz w:val="18"/>
          <w:szCs w:val="18"/>
          <w:lang w:val="el-GR"/>
        </w:rPr>
        <w:t xml:space="preserve"> μισθός ο οποίος θα είναι </w:t>
      </w:r>
      <w:r w:rsidR="00352CA2" w:rsidRPr="00A811A0">
        <w:rPr>
          <w:rFonts w:ascii="Arial" w:hAnsi="Arial" w:cs="Arial"/>
          <w:kern w:val="18"/>
          <w:sz w:val="18"/>
          <w:szCs w:val="18"/>
          <w:lang w:val="el-GR"/>
        </w:rPr>
        <w:t xml:space="preserve">επίσης </w:t>
      </w:r>
      <w:r w:rsidR="00C839DD" w:rsidRPr="00A811A0">
        <w:rPr>
          <w:rFonts w:ascii="Arial" w:hAnsi="Arial" w:cs="Arial"/>
          <w:kern w:val="18"/>
          <w:sz w:val="18"/>
          <w:szCs w:val="18"/>
          <w:lang w:val="el-GR"/>
        </w:rPr>
        <w:t>μειωμένος κατά 10%.</w:t>
      </w:r>
    </w:p>
    <w:p w14:paraId="3C5A7A46" w14:textId="77777777" w:rsidR="000C30A8" w:rsidRPr="00A811A0" w:rsidRDefault="000C30A8" w:rsidP="00A811A0">
      <w:pPr>
        <w:pStyle w:val="ListParagraph"/>
        <w:widowControl w:val="0"/>
        <w:spacing w:before="60" w:after="0" w:line="240" w:lineRule="auto"/>
        <w:ind w:left="1156" w:hanging="436"/>
        <w:contextualSpacing w:val="0"/>
        <w:jc w:val="both"/>
        <w:rPr>
          <w:rFonts w:ascii="Arial" w:hAnsi="Arial" w:cs="Arial"/>
          <w:kern w:val="18"/>
          <w:sz w:val="18"/>
          <w:szCs w:val="18"/>
          <w:lang w:val="el-GR"/>
        </w:rPr>
      </w:pPr>
      <w:r w:rsidRPr="00A811A0">
        <w:rPr>
          <w:rFonts w:ascii="Arial" w:hAnsi="Arial" w:cs="Arial"/>
          <w:kern w:val="18"/>
          <w:sz w:val="18"/>
          <w:szCs w:val="18"/>
          <w:lang w:val="el-GR"/>
        </w:rPr>
        <w:t>Α</w:t>
      </w:r>
      <w:r w:rsidR="006E6CF0" w:rsidRPr="00A811A0">
        <w:rPr>
          <w:rFonts w:ascii="Arial" w:hAnsi="Arial" w:cs="Arial"/>
          <w:kern w:val="18"/>
          <w:sz w:val="18"/>
          <w:szCs w:val="18"/>
          <w:lang w:val="el-GR"/>
        </w:rPr>
        <w:t>9</w:t>
      </w:r>
      <w:r w:rsidRPr="00A811A0">
        <w:rPr>
          <w:rFonts w:ascii="Arial" w:hAnsi="Arial" w:cs="Arial"/>
          <w:kern w:val="18"/>
          <w:sz w:val="18"/>
          <w:szCs w:val="18"/>
          <w:lang w:val="el-GR"/>
        </w:rPr>
        <w:t xml:space="preserve">: </w:t>
      </w:r>
      <w:r w:rsidR="00310897" w:rsidRPr="00A811A0">
        <w:rPr>
          <w:rFonts w:ascii="Arial" w:hAnsi="Arial" w:cs="Arial"/>
          <w:kern w:val="18"/>
          <w:sz w:val="18"/>
          <w:szCs w:val="18"/>
          <w:lang w:val="el-GR"/>
        </w:rPr>
        <w:t>€30.413, €31.880, €33.347, €34.814, €36.281, €37.748, €39.215, €40.682, €42.149</w:t>
      </w:r>
    </w:p>
    <w:p w14:paraId="7611AECF" w14:textId="77777777" w:rsidR="000C30A8" w:rsidRPr="00A811A0" w:rsidRDefault="000C30A8" w:rsidP="00A811A0">
      <w:pPr>
        <w:pStyle w:val="ListParagraph"/>
        <w:widowControl w:val="0"/>
        <w:spacing w:before="60" w:after="0" w:line="240" w:lineRule="auto"/>
        <w:ind w:left="1156" w:hanging="436"/>
        <w:contextualSpacing w:val="0"/>
        <w:jc w:val="both"/>
        <w:rPr>
          <w:rFonts w:ascii="Arial" w:hAnsi="Arial" w:cs="Arial"/>
          <w:kern w:val="18"/>
          <w:sz w:val="18"/>
          <w:szCs w:val="18"/>
          <w:lang w:val="el-GR"/>
        </w:rPr>
      </w:pPr>
      <w:r w:rsidRPr="00A811A0">
        <w:rPr>
          <w:rFonts w:ascii="Arial" w:hAnsi="Arial" w:cs="Arial"/>
          <w:kern w:val="18"/>
          <w:sz w:val="18"/>
          <w:szCs w:val="18"/>
          <w:lang w:val="el-GR"/>
        </w:rPr>
        <w:t>Α</w:t>
      </w:r>
      <w:r w:rsidR="006E6CF0" w:rsidRPr="00A811A0">
        <w:rPr>
          <w:rFonts w:ascii="Arial" w:hAnsi="Arial" w:cs="Arial"/>
          <w:kern w:val="18"/>
          <w:sz w:val="18"/>
          <w:szCs w:val="18"/>
          <w:lang w:val="el-GR"/>
        </w:rPr>
        <w:t>11</w:t>
      </w:r>
      <w:r w:rsidRPr="00A811A0">
        <w:rPr>
          <w:rFonts w:ascii="Arial" w:hAnsi="Arial" w:cs="Arial"/>
          <w:kern w:val="18"/>
          <w:sz w:val="18"/>
          <w:szCs w:val="18"/>
          <w:lang w:val="el-GR"/>
        </w:rPr>
        <w:t xml:space="preserve">: </w:t>
      </w:r>
      <w:r w:rsidR="00310897" w:rsidRPr="00A811A0">
        <w:rPr>
          <w:rFonts w:ascii="Arial" w:hAnsi="Arial" w:cs="Arial"/>
          <w:kern w:val="18"/>
          <w:sz w:val="18"/>
          <w:szCs w:val="18"/>
          <w:lang w:val="el-GR"/>
        </w:rPr>
        <w:t>€40.525, €42.164, €43.803, €45.442, €47.081, €48.720, €50.359, €51.998, €53.637</w:t>
      </w:r>
    </w:p>
    <w:p w14:paraId="1F6C442C" w14:textId="77777777" w:rsidR="000C30A8" w:rsidRPr="00A811A0" w:rsidRDefault="006E6CF0" w:rsidP="00A811A0">
      <w:pPr>
        <w:pStyle w:val="ListParagraph"/>
        <w:widowControl w:val="0"/>
        <w:spacing w:before="60" w:after="0" w:line="240" w:lineRule="auto"/>
        <w:ind w:left="1156" w:hanging="436"/>
        <w:contextualSpacing w:val="0"/>
        <w:jc w:val="both"/>
        <w:rPr>
          <w:rFonts w:ascii="Arial" w:hAnsi="Arial" w:cs="Arial"/>
          <w:kern w:val="18"/>
          <w:sz w:val="18"/>
          <w:szCs w:val="18"/>
          <w:lang w:val="el-GR"/>
        </w:rPr>
      </w:pPr>
      <w:r w:rsidRPr="00A811A0">
        <w:rPr>
          <w:rFonts w:ascii="Arial" w:hAnsi="Arial" w:cs="Arial"/>
          <w:kern w:val="18"/>
          <w:sz w:val="18"/>
          <w:szCs w:val="18"/>
          <w:lang w:val="el-GR"/>
        </w:rPr>
        <w:t>Α12</w:t>
      </w:r>
      <w:r w:rsidR="000C30A8" w:rsidRPr="00A811A0">
        <w:rPr>
          <w:rFonts w:ascii="Arial" w:hAnsi="Arial" w:cs="Arial"/>
          <w:kern w:val="18"/>
          <w:sz w:val="18"/>
          <w:szCs w:val="18"/>
          <w:lang w:val="el-GR"/>
        </w:rPr>
        <w:t xml:space="preserve">: </w:t>
      </w:r>
      <w:r w:rsidR="00310897" w:rsidRPr="00A811A0">
        <w:rPr>
          <w:rFonts w:ascii="Arial" w:hAnsi="Arial" w:cs="Arial"/>
          <w:kern w:val="18"/>
          <w:sz w:val="18"/>
          <w:szCs w:val="18"/>
          <w:lang w:val="el-GR"/>
        </w:rPr>
        <w:t xml:space="preserve">€44.978, </w:t>
      </w:r>
      <w:r w:rsidR="000E2F6E" w:rsidRPr="00A811A0">
        <w:rPr>
          <w:rFonts w:ascii="Arial" w:hAnsi="Arial" w:cs="Arial"/>
          <w:kern w:val="18"/>
          <w:sz w:val="18"/>
          <w:szCs w:val="18"/>
          <w:lang w:val="el-GR"/>
        </w:rPr>
        <w:t>€47.080, €49.182, €51.284, €53.386, €55.488, €57.590, €59.692</w:t>
      </w:r>
    </w:p>
    <w:p w14:paraId="178000F6" w14:textId="77777777" w:rsidR="000C30A8" w:rsidRPr="00A811A0" w:rsidRDefault="000C30A8" w:rsidP="00A811A0">
      <w:pPr>
        <w:pStyle w:val="ListParagraph"/>
        <w:widowControl w:val="0"/>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Στον πιο πάνω μισθό προστίθενται οι οποιεσδήποτε γενικές αυξήσεις εγκρίνονται με νομοθεσία και τιμαριθμικό επίδομα, σύμφωνα με το ποσοστό που εγκρίνεται από την Κυβέρνηση από καιρό σε καιρό.</w:t>
      </w:r>
    </w:p>
    <w:p w14:paraId="24B1A0F4" w14:textId="77777777" w:rsidR="000C30A8" w:rsidRPr="00A811A0" w:rsidRDefault="000C30A8" w:rsidP="00A811A0">
      <w:pPr>
        <w:pStyle w:val="ListParagraph"/>
        <w:widowControl w:val="0"/>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Με βάση του άρθρο 10 του </w:t>
      </w:r>
      <w:r w:rsidR="006D3DCE" w:rsidRPr="00A811A0">
        <w:rPr>
          <w:rFonts w:ascii="Arial" w:hAnsi="Arial" w:cs="Arial"/>
          <w:kern w:val="18"/>
          <w:sz w:val="18"/>
          <w:szCs w:val="18"/>
          <w:lang w:val="el-GR"/>
        </w:rPr>
        <w:t>Νόμου</w:t>
      </w:r>
      <w:r w:rsidRPr="00A811A0">
        <w:rPr>
          <w:rFonts w:ascii="Arial" w:hAnsi="Arial" w:cs="Arial"/>
          <w:kern w:val="18"/>
          <w:sz w:val="18"/>
          <w:szCs w:val="18"/>
          <w:lang w:val="el-GR"/>
        </w:rPr>
        <w:t xml:space="preserve">, εργοδοτούμενος ο οποίος προσλαμβάνεται δυνάμει των διατάξεων του, απασχολείται με μειωμένη κλίμακα εισδοχής για τους πρώτους είκοσι τέσσερις (24) μήνες από την πρόσληψη του, όπως καθορίζεται στον εκάστοτε ετήσιο σε ισχύ περί Προϋπολογισμού Νόμο.  Με τη συμπλήρωση είκοσι </w:t>
      </w:r>
      <w:r w:rsidRPr="00A811A0">
        <w:rPr>
          <w:rFonts w:ascii="Arial" w:hAnsi="Arial" w:cs="Arial"/>
          <w:kern w:val="18"/>
          <w:sz w:val="18"/>
          <w:szCs w:val="18"/>
          <w:lang w:val="el-GR"/>
        </w:rPr>
        <w:lastRenderedPageBreak/>
        <w:t>τεσσάρων (24) μηνών απασχόλησης, ο εργοδοτούμενος τοποθετείται στην αρχική βαθμίδα της μισθοδοτικής κλίμακας της θέσης που αναφέρεται στο οικείο σχέδιο υπηρεσίας ή σε σημείωση που περιλαμβάνεται στον εκάστοτε σε ισχύ ετήσιο περί Προϋπολογισμού Νόμο.</w:t>
      </w:r>
    </w:p>
    <w:p w14:paraId="4D788456" w14:textId="77777777" w:rsidR="00C839DD" w:rsidRPr="00A811A0" w:rsidRDefault="00C839DD" w:rsidP="00A811A0">
      <w:pPr>
        <w:pStyle w:val="ListParagraph"/>
        <w:widowControl w:val="0"/>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Ενδεικτικός αρχικός </w:t>
      </w:r>
      <w:r w:rsidR="004F07EC" w:rsidRPr="00A811A0">
        <w:rPr>
          <w:rFonts w:ascii="Arial" w:hAnsi="Arial" w:cs="Arial"/>
          <w:kern w:val="18"/>
          <w:sz w:val="18"/>
          <w:szCs w:val="18"/>
          <w:lang w:val="el-GR"/>
        </w:rPr>
        <w:t xml:space="preserve">ετήσιος μεικτός </w:t>
      </w:r>
      <w:r w:rsidRPr="00A811A0">
        <w:rPr>
          <w:rFonts w:ascii="Arial" w:hAnsi="Arial" w:cs="Arial"/>
          <w:kern w:val="18"/>
          <w:sz w:val="18"/>
          <w:szCs w:val="18"/>
          <w:lang w:val="el-GR"/>
        </w:rPr>
        <w:t>μισθός στην κλίμακα Α9</w:t>
      </w:r>
      <w:r w:rsidR="004F07EC" w:rsidRPr="00A811A0">
        <w:rPr>
          <w:rFonts w:ascii="Arial" w:hAnsi="Arial" w:cs="Arial"/>
          <w:kern w:val="18"/>
          <w:sz w:val="18"/>
          <w:szCs w:val="18"/>
          <w:lang w:val="el-GR"/>
        </w:rPr>
        <w:t xml:space="preserve"> </w:t>
      </w:r>
      <w:r w:rsidR="000E2F6E" w:rsidRPr="00A811A0">
        <w:rPr>
          <w:rFonts w:ascii="Arial" w:hAnsi="Arial" w:cs="Arial"/>
          <w:kern w:val="18"/>
          <w:sz w:val="18"/>
          <w:szCs w:val="18"/>
          <w:lang w:val="el-GR"/>
        </w:rPr>
        <w:t xml:space="preserve"> €30.408</w:t>
      </w:r>
    </w:p>
    <w:p w14:paraId="2379ACF6" w14:textId="77777777" w:rsidR="00605D04" w:rsidRPr="00A811A0" w:rsidRDefault="00605D04" w:rsidP="00A811A0">
      <w:pPr>
        <w:pStyle w:val="ListParagraph"/>
        <w:widowControl w:val="0"/>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Ενδεικτικός αρχικός</w:t>
      </w:r>
      <w:r w:rsidR="004F07EC" w:rsidRPr="00A811A0">
        <w:rPr>
          <w:rFonts w:ascii="Arial" w:hAnsi="Arial" w:cs="Arial"/>
          <w:kern w:val="18"/>
          <w:sz w:val="18"/>
          <w:szCs w:val="18"/>
          <w:lang w:val="el-GR"/>
        </w:rPr>
        <w:t xml:space="preserve"> ετήσιος μεικτός</w:t>
      </w:r>
      <w:r w:rsidRPr="00A811A0">
        <w:rPr>
          <w:rFonts w:ascii="Arial" w:hAnsi="Arial" w:cs="Arial"/>
          <w:kern w:val="18"/>
          <w:sz w:val="18"/>
          <w:szCs w:val="18"/>
          <w:lang w:val="el-GR"/>
        </w:rPr>
        <w:t xml:space="preserve"> μισθός στην κλίμακα </w:t>
      </w:r>
      <w:r w:rsidRPr="00A811A0">
        <w:rPr>
          <w:rFonts w:ascii="Arial" w:hAnsi="Arial" w:cs="Arial"/>
          <w:kern w:val="18"/>
          <w:sz w:val="18"/>
          <w:szCs w:val="18"/>
        </w:rPr>
        <w:t>A</w:t>
      </w:r>
      <w:r w:rsidRPr="00A811A0">
        <w:rPr>
          <w:rFonts w:ascii="Arial" w:hAnsi="Arial" w:cs="Arial"/>
          <w:kern w:val="18"/>
          <w:sz w:val="18"/>
          <w:szCs w:val="18"/>
          <w:lang w:val="el-GR"/>
        </w:rPr>
        <w:t>11</w:t>
      </w:r>
      <w:r w:rsidR="004F07EC" w:rsidRPr="00A811A0">
        <w:rPr>
          <w:rFonts w:ascii="Arial" w:hAnsi="Arial" w:cs="Arial"/>
          <w:kern w:val="18"/>
          <w:sz w:val="18"/>
          <w:szCs w:val="18"/>
          <w:lang w:val="el-GR"/>
        </w:rPr>
        <w:t xml:space="preserve"> </w:t>
      </w:r>
      <w:r w:rsidR="000E2F6E" w:rsidRPr="00A811A0">
        <w:rPr>
          <w:rFonts w:ascii="Arial" w:hAnsi="Arial" w:cs="Arial"/>
          <w:kern w:val="18"/>
          <w:sz w:val="18"/>
          <w:szCs w:val="18"/>
          <w:lang w:val="el-GR"/>
        </w:rPr>
        <w:t xml:space="preserve"> €40.521</w:t>
      </w:r>
    </w:p>
    <w:p w14:paraId="0DED2B6B" w14:textId="77777777" w:rsidR="00BF7118" w:rsidRPr="00A811A0" w:rsidRDefault="00BF7118"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Η διάρκεια εργοδότησης θα είναι μέχρι το κλείσιμο των Προγραμμάτων</w:t>
      </w:r>
      <w:r w:rsidR="006E6CF0" w:rsidRPr="00A811A0">
        <w:rPr>
          <w:rFonts w:ascii="Arial" w:hAnsi="Arial" w:cs="Arial"/>
          <w:kern w:val="18"/>
          <w:sz w:val="18"/>
          <w:szCs w:val="18"/>
          <w:lang w:val="el-GR"/>
        </w:rPr>
        <w:t xml:space="preserve"> (31/12/202</w:t>
      </w:r>
      <w:r w:rsidR="009779B3" w:rsidRPr="00A811A0">
        <w:rPr>
          <w:rFonts w:ascii="Arial" w:hAnsi="Arial" w:cs="Arial"/>
          <w:kern w:val="18"/>
          <w:sz w:val="18"/>
          <w:szCs w:val="18"/>
          <w:lang w:val="el-GR"/>
        </w:rPr>
        <w:t>9</w:t>
      </w:r>
      <w:r w:rsidR="006E6CF0" w:rsidRPr="00A811A0">
        <w:rPr>
          <w:rFonts w:ascii="Arial" w:hAnsi="Arial" w:cs="Arial"/>
          <w:kern w:val="18"/>
          <w:sz w:val="18"/>
          <w:szCs w:val="18"/>
          <w:lang w:val="el-GR"/>
        </w:rPr>
        <w:t>)</w:t>
      </w:r>
      <w:r w:rsidRPr="00A811A0">
        <w:rPr>
          <w:rFonts w:ascii="Arial" w:hAnsi="Arial" w:cs="Arial"/>
          <w:kern w:val="18"/>
          <w:sz w:val="18"/>
          <w:szCs w:val="18"/>
          <w:lang w:val="el-GR"/>
        </w:rPr>
        <w:t xml:space="preserve"> εφόσον κατά την αξιολόγηση τους οι εργοδοτούμενοι ορισμένου χρόνου κριθούν επαρκείς</w:t>
      </w:r>
      <w:r w:rsidR="00211345" w:rsidRPr="00A811A0">
        <w:rPr>
          <w:rFonts w:ascii="Arial" w:hAnsi="Arial" w:cs="Arial"/>
          <w:kern w:val="18"/>
          <w:sz w:val="18"/>
          <w:szCs w:val="18"/>
          <w:lang w:val="el-GR"/>
        </w:rPr>
        <w:t xml:space="preserve"> και νοουμένου ότι πληρούνται οι πρόνοιες </w:t>
      </w:r>
      <w:r w:rsidR="00156E69" w:rsidRPr="00A811A0">
        <w:rPr>
          <w:rFonts w:ascii="Arial" w:hAnsi="Arial" w:cs="Arial"/>
          <w:kern w:val="18"/>
          <w:sz w:val="18"/>
          <w:szCs w:val="18"/>
          <w:lang w:val="el-GR"/>
        </w:rPr>
        <w:t xml:space="preserve">της παραγράφου (β) </w:t>
      </w:r>
      <w:r w:rsidR="00211345" w:rsidRPr="00A811A0">
        <w:rPr>
          <w:rFonts w:ascii="Arial" w:hAnsi="Arial" w:cs="Arial"/>
          <w:kern w:val="18"/>
          <w:sz w:val="18"/>
          <w:szCs w:val="18"/>
          <w:lang w:val="el-GR"/>
        </w:rPr>
        <w:t xml:space="preserve">του </w:t>
      </w:r>
      <w:r w:rsidR="00156E69" w:rsidRPr="00A811A0">
        <w:rPr>
          <w:rFonts w:ascii="Arial" w:hAnsi="Arial" w:cs="Arial"/>
          <w:kern w:val="18"/>
          <w:sz w:val="18"/>
          <w:szCs w:val="18"/>
          <w:lang w:val="el-GR"/>
        </w:rPr>
        <w:t xml:space="preserve">εδαφίου (2) </w:t>
      </w:r>
      <w:r w:rsidR="00211345" w:rsidRPr="00A811A0">
        <w:rPr>
          <w:rFonts w:ascii="Arial" w:hAnsi="Arial" w:cs="Arial"/>
          <w:kern w:val="18"/>
          <w:sz w:val="18"/>
          <w:szCs w:val="18"/>
          <w:lang w:val="el-GR"/>
        </w:rPr>
        <w:t xml:space="preserve">άρθρου </w:t>
      </w:r>
      <w:r w:rsidR="00156E69" w:rsidRPr="00A811A0">
        <w:rPr>
          <w:rFonts w:ascii="Arial" w:hAnsi="Arial" w:cs="Arial"/>
          <w:kern w:val="18"/>
          <w:sz w:val="18"/>
          <w:szCs w:val="18"/>
          <w:lang w:val="el-GR"/>
        </w:rPr>
        <w:t xml:space="preserve">9 </w:t>
      </w:r>
      <w:r w:rsidR="00211345" w:rsidRPr="00A811A0">
        <w:rPr>
          <w:rFonts w:ascii="Arial" w:hAnsi="Arial" w:cs="Arial"/>
          <w:kern w:val="18"/>
          <w:sz w:val="18"/>
          <w:szCs w:val="18"/>
          <w:lang w:val="el-GR"/>
        </w:rPr>
        <w:t>του Νόμου</w:t>
      </w:r>
      <w:r w:rsidR="00156E69" w:rsidRPr="00A811A0">
        <w:rPr>
          <w:rFonts w:ascii="Arial" w:hAnsi="Arial" w:cs="Arial"/>
          <w:kern w:val="18"/>
          <w:sz w:val="18"/>
          <w:szCs w:val="18"/>
          <w:lang w:val="el-GR"/>
        </w:rPr>
        <w:t xml:space="preserve"> Ν. 70(Ι)/2016.</w:t>
      </w:r>
    </w:p>
    <w:p w14:paraId="5EA75760" w14:textId="77777777" w:rsidR="00BF7118" w:rsidRPr="00A811A0" w:rsidRDefault="00F40D3D"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Οι εργοδοτούμενοι ορισμένου χρόνου θα έχουν έδρα τη Λευκωσία</w:t>
      </w:r>
      <w:r w:rsidR="009E39E6" w:rsidRPr="00A811A0">
        <w:rPr>
          <w:rFonts w:ascii="Arial" w:hAnsi="Arial" w:cs="Arial"/>
          <w:kern w:val="18"/>
          <w:sz w:val="18"/>
          <w:szCs w:val="18"/>
          <w:lang w:val="el-GR"/>
        </w:rPr>
        <w:t>.</w:t>
      </w:r>
    </w:p>
    <w:p w14:paraId="54CFDDDB" w14:textId="77777777" w:rsidR="000B3936" w:rsidRPr="00A811A0" w:rsidRDefault="000B3936"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Οι αιτητές πρέπει να είναι πολίτες της Κυπριακής Δημοκρατίας ή πολίτες </w:t>
      </w:r>
      <w:r w:rsidR="00E1720C" w:rsidRPr="00A811A0">
        <w:rPr>
          <w:rFonts w:ascii="Arial" w:hAnsi="Arial" w:cs="Arial"/>
          <w:kern w:val="18"/>
          <w:sz w:val="18"/>
          <w:szCs w:val="18"/>
          <w:lang w:val="el-GR"/>
        </w:rPr>
        <w:t>Κράτους Μ</w:t>
      </w:r>
      <w:r w:rsidRPr="00A811A0">
        <w:rPr>
          <w:rFonts w:ascii="Arial" w:hAnsi="Arial" w:cs="Arial"/>
          <w:kern w:val="18"/>
          <w:sz w:val="18"/>
          <w:szCs w:val="18"/>
          <w:lang w:val="el-GR"/>
        </w:rPr>
        <w:t>έλους της Ευρωπαϊκής Ένωσης</w:t>
      </w:r>
      <w:r w:rsidR="00E1720C" w:rsidRPr="00A811A0">
        <w:rPr>
          <w:rFonts w:ascii="Arial" w:hAnsi="Arial" w:cs="Arial"/>
          <w:kern w:val="18"/>
          <w:sz w:val="18"/>
          <w:szCs w:val="18"/>
          <w:lang w:val="el-GR"/>
        </w:rPr>
        <w:t xml:space="preserve"> και να έχουν εκπληρώσει τις στρατιωτικές τους υποχρεώσεις ή να έχουν νόμιμα απαλλαγεί από αυτές</w:t>
      </w:r>
      <w:r w:rsidRPr="00A811A0">
        <w:rPr>
          <w:rFonts w:ascii="Arial" w:hAnsi="Arial" w:cs="Arial"/>
          <w:kern w:val="18"/>
          <w:sz w:val="18"/>
          <w:szCs w:val="18"/>
          <w:lang w:val="el-GR"/>
        </w:rPr>
        <w:t>.</w:t>
      </w:r>
    </w:p>
    <w:p w14:paraId="457F0E8C" w14:textId="77777777" w:rsidR="008F28A0" w:rsidRPr="00A811A0" w:rsidRDefault="008F28A0"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Οι ενδιαφερόμενοι θα πρέπει να συμπληρώσουν αίτηση στο Ειδικό Έντυπο «Αίτηση Απασχόλησης </w:t>
      </w:r>
      <w:r w:rsidR="001C44E5" w:rsidRPr="00A811A0">
        <w:rPr>
          <w:rFonts w:ascii="Arial" w:hAnsi="Arial" w:cs="Arial"/>
          <w:kern w:val="18"/>
          <w:sz w:val="18"/>
          <w:szCs w:val="18"/>
          <w:lang w:val="el-GR"/>
        </w:rPr>
        <w:t>ΛΟΓΙΣΤΗ</w:t>
      </w:r>
      <w:r w:rsidRPr="00A811A0">
        <w:rPr>
          <w:rFonts w:ascii="Arial" w:hAnsi="Arial" w:cs="Arial"/>
          <w:kern w:val="18"/>
          <w:sz w:val="18"/>
          <w:szCs w:val="18"/>
          <w:lang w:val="el-GR"/>
        </w:rPr>
        <w:t xml:space="preserve"> Ορισμένου Χρόνου στο Γενικό Λογιστήριο της Δημοκρατίας» το οποίο μπορούν να εξασφαλίσουν από την ιστοσελίδα του Γενικού Λογιστηρίου της Δημοκρατίας</w:t>
      </w:r>
      <w:r w:rsidR="007703C1" w:rsidRPr="00A811A0">
        <w:rPr>
          <w:rFonts w:ascii="Arial" w:hAnsi="Arial" w:cs="Arial"/>
          <w:kern w:val="18"/>
          <w:sz w:val="18"/>
          <w:szCs w:val="18"/>
          <w:lang w:val="el-GR"/>
        </w:rPr>
        <w:t xml:space="preserve"> (</w:t>
      </w:r>
      <w:hyperlink r:id="rId7" w:history="1">
        <w:r w:rsidR="007703C1" w:rsidRPr="00A811A0">
          <w:rPr>
            <w:rStyle w:val="Hyperlink"/>
            <w:rFonts w:ascii="Arial" w:hAnsi="Arial" w:cs="Arial"/>
            <w:color w:val="auto"/>
            <w:kern w:val="18"/>
            <w:sz w:val="18"/>
            <w:szCs w:val="18"/>
            <w:u w:val="none"/>
          </w:rPr>
          <w:t>www</w:t>
        </w:r>
        <w:r w:rsidR="007703C1" w:rsidRPr="00A811A0">
          <w:rPr>
            <w:rStyle w:val="Hyperlink"/>
            <w:rFonts w:ascii="Arial" w:hAnsi="Arial" w:cs="Arial"/>
            <w:color w:val="auto"/>
            <w:kern w:val="18"/>
            <w:sz w:val="18"/>
            <w:szCs w:val="18"/>
            <w:u w:val="none"/>
            <w:lang w:val="el-GR"/>
          </w:rPr>
          <w:t>.</w:t>
        </w:r>
        <w:r w:rsidR="007703C1" w:rsidRPr="00A811A0">
          <w:rPr>
            <w:rStyle w:val="Hyperlink"/>
            <w:rFonts w:ascii="Arial" w:hAnsi="Arial" w:cs="Arial"/>
            <w:color w:val="auto"/>
            <w:kern w:val="18"/>
            <w:sz w:val="18"/>
            <w:szCs w:val="18"/>
            <w:u w:val="none"/>
          </w:rPr>
          <w:t>treasury</w:t>
        </w:r>
        <w:r w:rsidR="007703C1" w:rsidRPr="00A811A0">
          <w:rPr>
            <w:rStyle w:val="Hyperlink"/>
            <w:rFonts w:ascii="Arial" w:hAnsi="Arial" w:cs="Arial"/>
            <w:color w:val="auto"/>
            <w:kern w:val="18"/>
            <w:sz w:val="18"/>
            <w:szCs w:val="18"/>
            <w:u w:val="none"/>
            <w:lang w:val="el-GR"/>
          </w:rPr>
          <w:t>.</w:t>
        </w:r>
        <w:r w:rsidR="007703C1" w:rsidRPr="00A811A0">
          <w:rPr>
            <w:rStyle w:val="Hyperlink"/>
            <w:rFonts w:ascii="Arial" w:hAnsi="Arial" w:cs="Arial"/>
            <w:color w:val="auto"/>
            <w:kern w:val="18"/>
            <w:sz w:val="18"/>
            <w:szCs w:val="18"/>
            <w:u w:val="none"/>
          </w:rPr>
          <w:t>gov</w:t>
        </w:r>
        <w:r w:rsidR="007703C1" w:rsidRPr="00A811A0">
          <w:rPr>
            <w:rStyle w:val="Hyperlink"/>
            <w:rFonts w:ascii="Arial" w:hAnsi="Arial" w:cs="Arial"/>
            <w:color w:val="auto"/>
            <w:kern w:val="18"/>
            <w:sz w:val="18"/>
            <w:szCs w:val="18"/>
            <w:u w:val="none"/>
            <w:lang w:val="el-GR"/>
          </w:rPr>
          <w:t>.</w:t>
        </w:r>
        <w:r w:rsidR="007703C1" w:rsidRPr="00A811A0">
          <w:rPr>
            <w:rStyle w:val="Hyperlink"/>
            <w:rFonts w:ascii="Arial" w:hAnsi="Arial" w:cs="Arial"/>
            <w:color w:val="auto"/>
            <w:kern w:val="18"/>
            <w:sz w:val="18"/>
            <w:szCs w:val="18"/>
            <w:u w:val="none"/>
          </w:rPr>
          <w:t>cy</w:t>
        </w:r>
      </w:hyperlink>
      <w:r w:rsidR="007703C1" w:rsidRPr="00A811A0">
        <w:rPr>
          <w:rFonts w:ascii="Arial" w:hAnsi="Arial" w:cs="Arial"/>
          <w:kern w:val="18"/>
          <w:sz w:val="18"/>
          <w:szCs w:val="18"/>
          <w:lang w:val="el-GR"/>
        </w:rPr>
        <w:t>), από την ενότητα «Τελευταία Νέα».</w:t>
      </w:r>
    </w:p>
    <w:p w14:paraId="365DF198" w14:textId="77777777" w:rsidR="008F28A0" w:rsidRPr="00A811A0" w:rsidRDefault="008F28A0" w:rsidP="00A811A0">
      <w:pPr>
        <w:pStyle w:val="ListParagraph"/>
        <w:widowControl w:val="0"/>
        <w:numPr>
          <w:ilvl w:val="0"/>
          <w:numId w:val="6"/>
        </w:numPr>
        <w:spacing w:before="60" w:after="0" w:line="240" w:lineRule="auto"/>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Το έντυπο πρέπει να συμπληρώνεται </w:t>
      </w:r>
      <w:r w:rsidR="003F0E71" w:rsidRPr="00A811A0">
        <w:rPr>
          <w:rFonts w:ascii="Arial" w:hAnsi="Arial" w:cs="Arial"/>
          <w:kern w:val="18"/>
          <w:sz w:val="18"/>
          <w:szCs w:val="18"/>
          <w:lang w:val="el-GR"/>
        </w:rPr>
        <w:t xml:space="preserve">και να υπογράφεται </w:t>
      </w:r>
      <w:r w:rsidRPr="00A811A0">
        <w:rPr>
          <w:rFonts w:ascii="Arial" w:hAnsi="Arial" w:cs="Arial"/>
          <w:kern w:val="18"/>
          <w:sz w:val="18"/>
          <w:szCs w:val="18"/>
          <w:lang w:val="el-GR"/>
        </w:rPr>
        <w:t xml:space="preserve">κατάλληλα και να περιέχονται σε αυτό με ακρίβεια όλα τα ζητούμενα στοιχεία </w:t>
      </w:r>
      <w:r w:rsidR="001C44E5" w:rsidRPr="00A811A0">
        <w:rPr>
          <w:rFonts w:ascii="Arial" w:hAnsi="Arial" w:cs="Arial"/>
          <w:kern w:val="18"/>
          <w:sz w:val="18"/>
          <w:szCs w:val="18"/>
          <w:lang w:val="el-GR"/>
        </w:rPr>
        <w:t>τα οποία</w:t>
      </w:r>
      <w:r w:rsidR="00AE1E6E" w:rsidRPr="00A811A0">
        <w:rPr>
          <w:rFonts w:ascii="Arial" w:hAnsi="Arial" w:cs="Arial"/>
          <w:kern w:val="18"/>
          <w:sz w:val="18"/>
          <w:szCs w:val="18"/>
          <w:lang w:val="el-GR"/>
        </w:rPr>
        <w:t xml:space="preserve"> να τεκμηριώνονται με τα αναγκαία πιστοποιητικά</w:t>
      </w:r>
      <w:r w:rsidR="00985A9D" w:rsidRPr="00A811A0">
        <w:rPr>
          <w:rFonts w:ascii="Arial" w:hAnsi="Arial" w:cs="Arial"/>
          <w:kern w:val="18"/>
          <w:sz w:val="18"/>
          <w:szCs w:val="18"/>
          <w:lang w:val="el-GR"/>
        </w:rPr>
        <w:t xml:space="preserve"> ή άλλα τεκμήρια</w:t>
      </w:r>
      <w:r w:rsidR="00AE1E6E" w:rsidRPr="00A811A0">
        <w:rPr>
          <w:rFonts w:ascii="Arial" w:hAnsi="Arial" w:cs="Arial"/>
          <w:kern w:val="18"/>
          <w:sz w:val="18"/>
          <w:szCs w:val="18"/>
          <w:lang w:val="el-GR"/>
        </w:rPr>
        <w:t xml:space="preserve">. </w:t>
      </w:r>
      <w:r w:rsidR="00321832" w:rsidRPr="00A811A0">
        <w:rPr>
          <w:rFonts w:ascii="Arial" w:hAnsi="Arial" w:cs="Arial"/>
          <w:kern w:val="18"/>
          <w:sz w:val="18"/>
          <w:szCs w:val="18"/>
          <w:lang w:val="el-GR"/>
        </w:rPr>
        <w:t xml:space="preserve">Σημειώνεται ότι το έντυπο θα πρέπει να σαρώνεται για να φέρει υπογραφή του αιτητή. </w:t>
      </w:r>
      <w:r w:rsidR="00DE3E69" w:rsidRPr="00A811A0">
        <w:rPr>
          <w:rFonts w:ascii="Arial" w:hAnsi="Arial" w:cs="Arial"/>
          <w:kern w:val="18"/>
          <w:sz w:val="18"/>
          <w:szCs w:val="18"/>
          <w:lang w:val="el-GR"/>
        </w:rPr>
        <w:t xml:space="preserve">Τα πρωτότυπα αποδεικτικά στοιχεία θα πρέπει να παρουσιαστούν όταν ζητηθούν για έλεγχο. </w:t>
      </w:r>
    </w:p>
    <w:p w14:paraId="4D0A1ACD" w14:textId="77777777" w:rsidR="00DE3E69" w:rsidRPr="00A811A0" w:rsidRDefault="00DE3E69" w:rsidP="00A811A0">
      <w:pPr>
        <w:pStyle w:val="ListParagraph"/>
        <w:widowControl w:val="0"/>
        <w:numPr>
          <w:ilvl w:val="0"/>
          <w:numId w:val="6"/>
        </w:numPr>
        <w:spacing w:before="60" w:after="0" w:line="240" w:lineRule="auto"/>
        <w:ind w:left="709" w:hanging="425"/>
        <w:contextualSpacing w:val="0"/>
        <w:jc w:val="both"/>
        <w:rPr>
          <w:rFonts w:ascii="Arial" w:hAnsi="Arial" w:cs="Arial"/>
          <w:kern w:val="18"/>
          <w:sz w:val="18"/>
          <w:szCs w:val="18"/>
          <w:lang w:val="el-GR"/>
        </w:rPr>
      </w:pPr>
      <w:r w:rsidRPr="00A811A0">
        <w:rPr>
          <w:rFonts w:ascii="Arial" w:hAnsi="Arial" w:cs="Arial"/>
          <w:kern w:val="18"/>
          <w:sz w:val="18"/>
          <w:szCs w:val="18"/>
          <w:lang w:val="el-GR"/>
        </w:rPr>
        <w:t xml:space="preserve">Οι αιτήσεις θα πρέπει </w:t>
      </w:r>
      <w:r w:rsidR="003F0E71" w:rsidRPr="00A811A0">
        <w:rPr>
          <w:rFonts w:ascii="Arial" w:hAnsi="Arial" w:cs="Arial"/>
          <w:kern w:val="18"/>
          <w:sz w:val="18"/>
          <w:szCs w:val="18"/>
          <w:lang w:val="el-GR"/>
        </w:rPr>
        <w:t>να αποσταλούν</w:t>
      </w:r>
      <w:r w:rsidRPr="00A811A0">
        <w:rPr>
          <w:rFonts w:ascii="Arial" w:hAnsi="Arial" w:cs="Arial"/>
          <w:kern w:val="18"/>
          <w:sz w:val="18"/>
          <w:szCs w:val="18"/>
          <w:lang w:val="el-GR"/>
        </w:rPr>
        <w:t>, έναντι απόδειξης παραλαβής,</w:t>
      </w:r>
      <w:r w:rsidR="002C5404" w:rsidRPr="00A811A0">
        <w:rPr>
          <w:rFonts w:ascii="Arial" w:hAnsi="Arial" w:cs="Arial"/>
          <w:kern w:val="18"/>
          <w:sz w:val="18"/>
          <w:szCs w:val="18"/>
          <w:lang w:val="el-GR"/>
        </w:rPr>
        <w:t xml:space="preserve"> </w:t>
      </w:r>
      <w:r w:rsidR="002A2BE4" w:rsidRPr="00A811A0">
        <w:rPr>
          <w:rFonts w:ascii="Arial" w:hAnsi="Arial" w:cs="Arial"/>
          <w:kern w:val="18"/>
          <w:sz w:val="18"/>
          <w:szCs w:val="18"/>
          <w:lang w:val="el-GR"/>
        </w:rPr>
        <w:t xml:space="preserve">μέσω </w:t>
      </w:r>
      <w:r w:rsidR="002A2BE4" w:rsidRPr="00A811A0">
        <w:rPr>
          <w:rFonts w:ascii="Arial" w:hAnsi="Arial" w:cs="Arial"/>
          <w:kern w:val="18"/>
          <w:sz w:val="18"/>
          <w:szCs w:val="18"/>
        </w:rPr>
        <w:t>e</w:t>
      </w:r>
      <w:r w:rsidR="002A2BE4" w:rsidRPr="00A811A0">
        <w:rPr>
          <w:rFonts w:ascii="Arial" w:hAnsi="Arial" w:cs="Arial"/>
          <w:kern w:val="18"/>
          <w:sz w:val="18"/>
          <w:szCs w:val="18"/>
          <w:lang w:val="el-GR"/>
        </w:rPr>
        <w:t>-</w:t>
      </w:r>
      <w:r w:rsidR="002A2BE4" w:rsidRPr="00A811A0">
        <w:rPr>
          <w:rFonts w:ascii="Arial" w:hAnsi="Arial" w:cs="Arial"/>
          <w:kern w:val="18"/>
          <w:sz w:val="18"/>
          <w:szCs w:val="18"/>
        </w:rPr>
        <w:t>mail</w:t>
      </w:r>
      <w:r w:rsidR="002A2BE4" w:rsidRPr="00A811A0">
        <w:rPr>
          <w:rFonts w:ascii="Arial" w:hAnsi="Arial" w:cs="Arial"/>
          <w:kern w:val="18"/>
          <w:sz w:val="18"/>
          <w:szCs w:val="18"/>
          <w:lang w:val="el-GR"/>
        </w:rPr>
        <w:t xml:space="preserve"> στην ηλεκτρονική διεύθυνση </w:t>
      </w:r>
      <w:hyperlink r:id="rId8" w:history="1">
        <w:r w:rsidR="00794972" w:rsidRPr="00A811A0">
          <w:rPr>
            <w:rStyle w:val="Hyperlink"/>
            <w:rFonts w:ascii="Arial" w:hAnsi="Arial" w:cs="Arial"/>
            <w:color w:val="auto"/>
            <w:kern w:val="18"/>
            <w:sz w:val="18"/>
            <w:szCs w:val="18"/>
            <w:u w:val="none"/>
          </w:rPr>
          <w:t>fixedtermaccountants</w:t>
        </w:r>
        <w:r w:rsidR="00794972" w:rsidRPr="00A811A0">
          <w:rPr>
            <w:rStyle w:val="Hyperlink"/>
            <w:rFonts w:ascii="Arial" w:hAnsi="Arial" w:cs="Arial"/>
            <w:color w:val="auto"/>
            <w:kern w:val="18"/>
            <w:sz w:val="18"/>
            <w:szCs w:val="18"/>
            <w:u w:val="none"/>
            <w:lang w:val="el-GR"/>
          </w:rPr>
          <w:t>@</w:t>
        </w:r>
        <w:r w:rsidR="00794972" w:rsidRPr="00A811A0">
          <w:rPr>
            <w:rStyle w:val="Hyperlink"/>
            <w:rFonts w:ascii="Arial" w:hAnsi="Arial" w:cs="Arial"/>
            <w:color w:val="auto"/>
            <w:kern w:val="18"/>
            <w:sz w:val="18"/>
            <w:szCs w:val="18"/>
            <w:u w:val="none"/>
          </w:rPr>
          <w:t>treasury</w:t>
        </w:r>
        <w:r w:rsidR="00794972" w:rsidRPr="00A811A0">
          <w:rPr>
            <w:rStyle w:val="Hyperlink"/>
            <w:rFonts w:ascii="Arial" w:hAnsi="Arial" w:cs="Arial"/>
            <w:color w:val="auto"/>
            <w:kern w:val="18"/>
            <w:sz w:val="18"/>
            <w:szCs w:val="18"/>
            <w:u w:val="none"/>
            <w:lang w:val="el-GR"/>
          </w:rPr>
          <w:t>.</w:t>
        </w:r>
        <w:r w:rsidR="00794972" w:rsidRPr="00A811A0">
          <w:rPr>
            <w:rStyle w:val="Hyperlink"/>
            <w:rFonts w:ascii="Arial" w:hAnsi="Arial" w:cs="Arial"/>
            <w:color w:val="auto"/>
            <w:kern w:val="18"/>
            <w:sz w:val="18"/>
            <w:szCs w:val="18"/>
            <w:u w:val="none"/>
          </w:rPr>
          <w:t>gov</w:t>
        </w:r>
        <w:r w:rsidR="00794972" w:rsidRPr="00A811A0">
          <w:rPr>
            <w:rStyle w:val="Hyperlink"/>
            <w:rFonts w:ascii="Arial" w:hAnsi="Arial" w:cs="Arial"/>
            <w:color w:val="auto"/>
            <w:kern w:val="18"/>
            <w:sz w:val="18"/>
            <w:szCs w:val="18"/>
            <w:u w:val="none"/>
            <w:lang w:val="el-GR"/>
          </w:rPr>
          <w:t>.</w:t>
        </w:r>
        <w:r w:rsidR="00794972" w:rsidRPr="00A811A0">
          <w:rPr>
            <w:rStyle w:val="Hyperlink"/>
            <w:rFonts w:ascii="Arial" w:hAnsi="Arial" w:cs="Arial"/>
            <w:color w:val="auto"/>
            <w:kern w:val="18"/>
            <w:sz w:val="18"/>
            <w:szCs w:val="18"/>
            <w:u w:val="none"/>
          </w:rPr>
          <w:t>cy</w:t>
        </w:r>
      </w:hyperlink>
      <w:r w:rsidR="002A2BE4" w:rsidRPr="00A811A0">
        <w:rPr>
          <w:rFonts w:ascii="Arial" w:hAnsi="Arial" w:cs="Arial"/>
          <w:kern w:val="18"/>
          <w:sz w:val="18"/>
          <w:szCs w:val="18"/>
          <w:lang w:val="el-GR"/>
        </w:rPr>
        <w:t xml:space="preserve"> </w:t>
      </w:r>
      <w:r w:rsidR="00B65ACE" w:rsidRPr="00A811A0">
        <w:rPr>
          <w:rFonts w:ascii="Arial" w:hAnsi="Arial" w:cs="Arial"/>
          <w:kern w:val="18"/>
          <w:sz w:val="18"/>
          <w:szCs w:val="18"/>
          <w:lang w:val="el-GR"/>
        </w:rPr>
        <w:t xml:space="preserve">όχι αργότερα από τις </w:t>
      </w:r>
      <w:r w:rsidR="00D60BBE" w:rsidRPr="00A811A0">
        <w:rPr>
          <w:rFonts w:ascii="Arial" w:hAnsi="Arial" w:cs="Arial"/>
          <w:kern w:val="18"/>
          <w:sz w:val="18"/>
          <w:szCs w:val="18"/>
          <w:lang w:val="el-GR"/>
        </w:rPr>
        <w:t>11</w:t>
      </w:r>
      <w:r w:rsidR="00063A3E" w:rsidRPr="00A811A0">
        <w:rPr>
          <w:rFonts w:ascii="Arial" w:hAnsi="Arial" w:cs="Arial"/>
          <w:kern w:val="18"/>
          <w:sz w:val="18"/>
          <w:szCs w:val="18"/>
          <w:lang w:val="el-GR"/>
        </w:rPr>
        <w:t xml:space="preserve"> Μαρτίου 2022. </w:t>
      </w:r>
      <w:r w:rsidR="0000536A" w:rsidRPr="00A811A0">
        <w:rPr>
          <w:rFonts w:ascii="Arial" w:hAnsi="Arial" w:cs="Arial"/>
          <w:bCs/>
          <w:kern w:val="18"/>
          <w:sz w:val="18"/>
          <w:szCs w:val="18"/>
          <w:lang w:val="el-GR"/>
        </w:rPr>
        <w:t>Εκπρόθεσμες αιτήσεις ή αιτήσεις που δεν θα συνοδεύονται από τα απαραίτητα πιστοποιητικά, δεν θα γίνονται αποδεκτές και δεν θα εξετάζονται</w:t>
      </w:r>
      <w:r w:rsidR="0000536A" w:rsidRPr="00A811A0">
        <w:rPr>
          <w:rFonts w:ascii="Arial" w:hAnsi="Arial" w:cs="Arial"/>
          <w:kern w:val="18"/>
          <w:sz w:val="18"/>
          <w:szCs w:val="18"/>
          <w:lang w:val="el-GR"/>
        </w:rPr>
        <w:t>.</w:t>
      </w:r>
      <w:r w:rsidR="00063A3E" w:rsidRPr="00A811A0">
        <w:rPr>
          <w:rFonts w:ascii="Arial" w:hAnsi="Arial" w:cs="Arial"/>
          <w:kern w:val="18"/>
          <w:sz w:val="18"/>
          <w:szCs w:val="18"/>
          <w:lang w:val="el-GR"/>
        </w:rPr>
        <w:t xml:space="preserve">   </w:t>
      </w:r>
    </w:p>
    <w:p w14:paraId="17B3085C" w14:textId="77777777" w:rsidR="00EE4005" w:rsidRPr="00A811A0" w:rsidRDefault="00321832" w:rsidP="00A811A0">
      <w:pPr>
        <w:pStyle w:val="ListParagraph"/>
        <w:widowControl w:val="0"/>
        <w:numPr>
          <w:ilvl w:val="0"/>
          <w:numId w:val="6"/>
        </w:numPr>
        <w:spacing w:before="60" w:after="0" w:line="240" w:lineRule="auto"/>
        <w:ind w:left="709" w:hanging="425"/>
        <w:contextualSpacing w:val="0"/>
        <w:jc w:val="both"/>
        <w:rPr>
          <w:rFonts w:ascii="Arial" w:hAnsi="Arial" w:cs="Arial"/>
          <w:kern w:val="18"/>
          <w:sz w:val="18"/>
          <w:szCs w:val="18"/>
          <w:lang w:val="el-GR"/>
        </w:rPr>
      </w:pPr>
      <w:r w:rsidRPr="00A811A0">
        <w:rPr>
          <w:rFonts w:ascii="Arial" w:hAnsi="Arial" w:cs="Arial"/>
          <w:kern w:val="18"/>
          <w:sz w:val="18"/>
          <w:szCs w:val="18"/>
          <w:lang w:val="el-GR"/>
        </w:rPr>
        <w:t>Μετά την ολοκλήρωση της αξιολόγησης των αιτήσεων που θα παραληφθούν,</w:t>
      </w:r>
      <w:r w:rsidR="00775A2B" w:rsidRPr="00A811A0">
        <w:rPr>
          <w:rFonts w:ascii="Arial" w:hAnsi="Arial" w:cs="Arial"/>
          <w:kern w:val="18"/>
          <w:sz w:val="18"/>
          <w:szCs w:val="18"/>
          <w:lang w:val="el-GR"/>
        </w:rPr>
        <w:t xml:space="preserve"> </w:t>
      </w:r>
      <w:r w:rsidRPr="00A811A0">
        <w:rPr>
          <w:rFonts w:ascii="Arial" w:hAnsi="Arial" w:cs="Arial"/>
          <w:kern w:val="18"/>
          <w:sz w:val="18"/>
          <w:szCs w:val="18"/>
          <w:lang w:val="el-GR"/>
        </w:rPr>
        <w:t xml:space="preserve">θα ετοιμαστεί Πίνακας υποψηφίων κατά σειρά προτεραιότητας, με βάση τα κριτήρια αξιολόγησης όπως αυτά περιγράφονται στην παρούσα προκήρυξη. Ο τελικός </w:t>
      </w:r>
      <w:r w:rsidR="00051791" w:rsidRPr="00A811A0">
        <w:rPr>
          <w:rFonts w:ascii="Arial" w:hAnsi="Arial" w:cs="Arial"/>
          <w:kern w:val="18"/>
          <w:sz w:val="18"/>
          <w:szCs w:val="18"/>
          <w:lang w:val="el-GR"/>
        </w:rPr>
        <w:t xml:space="preserve">Πίνακας υποψηφίων θα δημοσιευτεί στην Επίσημη Εφημερίδα της Δημοκρατίας και θα έχει ισχύ μέχρι τις 31/12/2029. Σε περίπτωση διακοπής του συμβολαίου </w:t>
      </w:r>
      <w:r w:rsidR="00EE4005" w:rsidRPr="00A811A0">
        <w:rPr>
          <w:rFonts w:ascii="Arial" w:hAnsi="Arial" w:cs="Arial"/>
          <w:kern w:val="18"/>
          <w:sz w:val="18"/>
          <w:szCs w:val="18"/>
          <w:lang w:val="el-GR"/>
        </w:rPr>
        <w:t>ενός επιτυχόντα, η θέση συμπληρώνεται από τους επιτυχόντες κατά σειρά κατάταξης στον σχετικό κατάλογο υποψηφίων.</w:t>
      </w:r>
    </w:p>
    <w:p w14:paraId="4A547BC0" w14:textId="77777777" w:rsidR="00321832" w:rsidRPr="00A811A0" w:rsidRDefault="00321832" w:rsidP="00A811A0">
      <w:pPr>
        <w:pStyle w:val="ListParagraph"/>
        <w:widowControl w:val="0"/>
        <w:spacing w:before="60" w:after="0" w:line="240" w:lineRule="auto"/>
        <w:ind w:left="709"/>
        <w:contextualSpacing w:val="0"/>
        <w:jc w:val="both"/>
        <w:rPr>
          <w:rFonts w:ascii="Arial" w:hAnsi="Arial" w:cs="Arial"/>
          <w:kern w:val="18"/>
          <w:sz w:val="18"/>
          <w:szCs w:val="18"/>
          <w:lang w:val="el-GR"/>
        </w:rPr>
      </w:pPr>
    </w:p>
    <w:p w14:paraId="261C55C9" w14:textId="77777777" w:rsidR="00E63366" w:rsidRPr="00A811A0" w:rsidRDefault="00E63366" w:rsidP="00A811A0">
      <w:pPr>
        <w:widowControl w:val="0"/>
        <w:spacing w:before="60" w:after="0" w:line="240" w:lineRule="auto"/>
        <w:ind w:left="1156" w:hanging="436"/>
        <w:jc w:val="both"/>
        <w:rPr>
          <w:rFonts w:ascii="Arial" w:hAnsi="Arial" w:cs="Arial"/>
          <w:kern w:val="18"/>
          <w:sz w:val="18"/>
          <w:szCs w:val="18"/>
          <w:lang w:val="el-GR"/>
        </w:rPr>
      </w:pPr>
    </w:p>
    <w:sectPr w:rsidR="00E63366" w:rsidRPr="00A811A0" w:rsidSect="00A811A0">
      <w:pgSz w:w="11907" w:h="16840" w:code="9"/>
      <w:pgMar w:top="1304" w:right="1134" w:bottom="130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5A1E" w14:textId="77777777" w:rsidR="00424088" w:rsidRDefault="00424088" w:rsidP="007F7937">
      <w:pPr>
        <w:spacing w:after="0" w:line="240" w:lineRule="auto"/>
      </w:pPr>
      <w:r>
        <w:separator/>
      </w:r>
    </w:p>
  </w:endnote>
  <w:endnote w:type="continuationSeparator" w:id="0">
    <w:p w14:paraId="6C412592" w14:textId="77777777" w:rsidR="00424088" w:rsidRDefault="00424088" w:rsidP="007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21245" w14:textId="77777777" w:rsidR="00424088" w:rsidRDefault="00424088" w:rsidP="007F7937">
      <w:pPr>
        <w:spacing w:after="0" w:line="240" w:lineRule="auto"/>
      </w:pPr>
      <w:r>
        <w:separator/>
      </w:r>
    </w:p>
  </w:footnote>
  <w:footnote w:type="continuationSeparator" w:id="0">
    <w:p w14:paraId="15D29A0C" w14:textId="77777777" w:rsidR="00424088" w:rsidRDefault="00424088" w:rsidP="007F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BC"/>
    <w:multiLevelType w:val="hybridMultilevel"/>
    <w:tmpl w:val="58C8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469FE"/>
    <w:multiLevelType w:val="hybridMultilevel"/>
    <w:tmpl w:val="96803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1774C"/>
    <w:multiLevelType w:val="hybridMultilevel"/>
    <w:tmpl w:val="E25A5922"/>
    <w:lvl w:ilvl="0" w:tplc="0409001B">
      <w:start w:val="1"/>
      <w:numFmt w:val="lowerRoman"/>
      <w:lvlText w:val="%1."/>
      <w:lvlJc w:val="right"/>
      <w:pPr>
        <w:ind w:left="1849" w:hanging="360"/>
      </w:pPr>
    </w:lvl>
    <w:lvl w:ilvl="1" w:tplc="04090019">
      <w:start w:val="1"/>
      <w:numFmt w:val="lowerLetter"/>
      <w:lvlText w:val="%2."/>
      <w:lvlJc w:val="left"/>
      <w:pPr>
        <w:ind w:left="2569" w:hanging="360"/>
      </w:pPr>
    </w:lvl>
    <w:lvl w:ilvl="2" w:tplc="0409001B">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3" w15:restartNumberingAfterBreak="0">
    <w:nsid w:val="1418113F"/>
    <w:multiLevelType w:val="hybridMultilevel"/>
    <w:tmpl w:val="B2E8F77E"/>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24E9A"/>
    <w:multiLevelType w:val="hybridMultilevel"/>
    <w:tmpl w:val="0E94C4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307C89"/>
    <w:multiLevelType w:val="hybridMultilevel"/>
    <w:tmpl w:val="60A4C8AA"/>
    <w:lvl w:ilvl="0" w:tplc="CD2216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B92553"/>
    <w:multiLevelType w:val="hybridMultilevel"/>
    <w:tmpl w:val="4A92137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36C0C"/>
    <w:multiLevelType w:val="hybridMultilevel"/>
    <w:tmpl w:val="78C23D4A"/>
    <w:lvl w:ilvl="0" w:tplc="B2FE48D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75D281F"/>
    <w:multiLevelType w:val="hybridMultilevel"/>
    <w:tmpl w:val="495CE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72DB5"/>
    <w:multiLevelType w:val="hybridMultilevel"/>
    <w:tmpl w:val="61FE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734DC"/>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4705592C"/>
    <w:multiLevelType w:val="hybridMultilevel"/>
    <w:tmpl w:val="7A5231C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15:restartNumberingAfterBreak="0">
    <w:nsid w:val="4D2A1CBA"/>
    <w:multiLevelType w:val="hybridMultilevel"/>
    <w:tmpl w:val="4A92137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2F019A"/>
    <w:multiLevelType w:val="hybridMultilevel"/>
    <w:tmpl w:val="29005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55037D7"/>
    <w:multiLevelType w:val="multilevel"/>
    <w:tmpl w:val="ED3E0D6C"/>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5F947B26"/>
    <w:multiLevelType w:val="multilevel"/>
    <w:tmpl w:val="3C82BF36"/>
    <w:lvl w:ilvl="0">
      <w:start w:val="1"/>
      <w:numFmt w:val="lowerRoman"/>
      <w:lvlText w:val="%1."/>
      <w:lvlJc w:val="right"/>
      <w:pPr>
        <w:ind w:left="1440" w:hanging="360"/>
      </w:pPr>
      <w:rPr>
        <w:b w:val="0"/>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602B19E2"/>
    <w:multiLevelType w:val="hybridMultilevel"/>
    <w:tmpl w:val="5D84251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60C651FF"/>
    <w:multiLevelType w:val="multilevel"/>
    <w:tmpl w:val="C4BA9DD8"/>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8" w15:restartNumberingAfterBreak="0">
    <w:nsid w:val="711E5B7F"/>
    <w:multiLevelType w:val="hybridMultilevel"/>
    <w:tmpl w:val="22D25942"/>
    <w:lvl w:ilvl="0" w:tplc="28E43296">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72654D1A"/>
    <w:multiLevelType w:val="hybridMultilevel"/>
    <w:tmpl w:val="3022106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15:restartNumberingAfterBreak="0">
    <w:nsid w:val="75004E0B"/>
    <w:multiLevelType w:val="hybridMultilevel"/>
    <w:tmpl w:val="FE42E2EE"/>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C247B"/>
    <w:multiLevelType w:val="hybridMultilevel"/>
    <w:tmpl w:val="3350F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6D6A93"/>
    <w:multiLevelType w:val="hybridMultilevel"/>
    <w:tmpl w:val="8DD4809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ED798D"/>
    <w:multiLevelType w:val="hybridMultilevel"/>
    <w:tmpl w:val="E6BE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4"/>
  </w:num>
  <w:num w:numId="5">
    <w:abstractNumId w:val="1"/>
  </w:num>
  <w:num w:numId="6">
    <w:abstractNumId w:val="20"/>
  </w:num>
  <w:num w:numId="7">
    <w:abstractNumId w:val="21"/>
  </w:num>
  <w:num w:numId="8">
    <w:abstractNumId w:val="0"/>
  </w:num>
  <w:num w:numId="9">
    <w:abstractNumId w:val="5"/>
  </w:num>
  <w:num w:numId="10">
    <w:abstractNumId w:val="13"/>
  </w:num>
  <w:num w:numId="11">
    <w:abstractNumId w:val="10"/>
  </w:num>
  <w:num w:numId="12">
    <w:abstractNumId w:val="17"/>
  </w:num>
  <w:num w:numId="13">
    <w:abstractNumId w:val="3"/>
  </w:num>
  <w:num w:numId="14">
    <w:abstractNumId w:val="15"/>
  </w:num>
  <w:num w:numId="15">
    <w:abstractNumId w:val="22"/>
  </w:num>
  <w:num w:numId="16">
    <w:abstractNumId w:val="6"/>
  </w:num>
  <w:num w:numId="17">
    <w:abstractNumId w:val="12"/>
  </w:num>
  <w:num w:numId="18">
    <w:abstractNumId w:val="8"/>
  </w:num>
  <w:num w:numId="19">
    <w:abstractNumId w:val="9"/>
  </w:num>
  <w:num w:numId="20">
    <w:abstractNumId w:val="2"/>
  </w:num>
  <w:num w:numId="21">
    <w:abstractNumId w:val="11"/>
  </w:num>
  <w:num w:numId="22">
    <w:abstractNumId w:val="7"/>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04"/>
    <w:rsid w:val="0000536A"/>
    <w:rsid w:val="00051791"/>
    <w:rsid w:val="00063A3E"/>
    <w:rsid w:val="000B1191"/>
    <w:rsid w:val="000B27E1"/>
    <w:rsid w:val="000B3936"/>
    <w:rsid w:val="000C30A8"/>
    <w:rsid w:val="000C7B98"/>
    <w:rsid w:val="000D61F8"/>
    <w:rsid w:val="000E2F6E"/>
    <w:rsid w:val="0010584F"/>
    <w:rsid w:val="001144CB"/>
    <w:rsid w:val="001168EB"/>
    <w:rsid w:val="0012736E"/>
    <w:rsid w:val="00136087"/>
    <w:rsid w:val="001428F8"/>
    <w:rsid w:val="0014657F"/>
    <w:rsid w:val="00150B36"/>
    <w:rsid w:val="00156E69"/>
    <w:rsid w:val="00166E5A"/>
    <w:rsid w:val="00170ED2"/>
    <w:rsid w:val="0017327C"/>
    <w:rsid w:val="00185586"/>
    <w:rsid w:val="00191AC1"/>
    <w:rsid w:val="001923A9"/>
    <w:rsid w:val="0019357F"/>
    <w:rsid w:val="001C44E5"/>
    <w:rsid w:val="001C777A"/>
    <w:rsid w:val="001F5440"/>
    <w:rsid w:val="001F6B15"/>
    <w:rsid w:val="00205991"/>
    <w:rsid w:val="00211345"/>
    <w:rsid w:val="002121AF"/>
    <w:rsid w:val="00213704"/>
    <w:rsid w:val="002244DF"/>
    <w:rsid w:val="00232A92"/>
    <w:rsid w:val="00234EC4"/>
    <w:rsid w:val="0023643C"/>
    <w:rsid w:val="002378AE"/>
    <w:rsid w:val="00241162"/>
    <w:rsid w:val="0025191C"/>
    <w:rsid w:val="00255A4A"/>
    <w:rsid w:val="002600A1"/>
    <w:rsid w:val="002A2BE4"/>
    <w:rsid w:val="002A513E"/>
    <w:rsid w:val="002B15FD"/>
    <w:rsid w:val="002C5404"/>
    <w:rsid w:val="002D5BAA"/>
    <w:rsid w:val="002D7238"/>
    <w:rsid w:val="002E2F07"/>
    <w:rsid w:val="002F3936"/>
    <w:rsid w:val="00310897"/>
    <w:rsid w:val="00321832"/>
    <w:rsid w:val="00333312"/>
    <w:rsid w:val="0034495C"/>
    <w:rsid w:val="00352CA2"/>
    <w:rsid w:val="00393F2A"/>
    <w:rsid w:val="003B363C"/>
    <w:rsid w:val="003D1F75"/>
    <w:rsid w:val="003D7FCC"/>
    <w:rsid w:val="003F0E71"/>
    <w:rsid w:val="00406F42"/>
    <w:rsid w:val="00417A64"/>
    <w:rsid w:val="00423105"/>
    <w:rsid w:val="00424088"/>
    <w:rsid w:val="00443062"/>
    <w:rsid w:val="00443206"/>
    <w:rsid w:val="00456CD9"/>
    <w:rsid w:val="00465875"/>
    <w:rsid w:val="00485714"/>
    <w:rsid w:val="004944C1"/>
    <w:rsid w:val="004B37CD"/>
    <w:rsid w:val="004B7983"/>
    <w:rsid w:val="004F07EC"/>
    <w:rsid w:val="004F739E"/>
    <w:rsid w:val="005366F8"/>
    <w:rsid w:val="0056231B"/>
    <w:rsid w:val="00583FE5"/>
    <w:rsid w:val="00590AAD"/>
    <w:rsid w:val="005F07AB"/>
    <w:rsid w:val="00603B22"/>
    <w:rsid w:val="00605D04"/>
    <w:rsid w:val="00635ED6"/>
    <w:rsid w:val="00667D27"/>
    <w:rsid w:val="00670ECC"/>
    <w:rsid w:val="00675883"/>
    <w:rsid w:val="006910D9"/>
    <w:rsid w:val="006C6585"/>
    <w:rsid w:val="006C7BAE"/>
    <w:rsid w:val="006D3DCE"/>
    <w:rsid w:val="006E6CF0"/>
    <w:rsid w:val="00713F54"/>
    <w:rsid w:val="007236F7"/>
    <w:rsid w:val="007448CC"/>
    <w:rsid w:val="007513E0"/>
    <w:rsid w:val="00764001"/>
    <w:rsid w:val="007703C1"/>
    <w:rsid w:val="00775A2B"/>
    <w:rsid w:val="007948E6"/>
    <w:rsid w:val="00794972"/>
    <w:rsid w:val="007F7937"/>
    <w:rsid w:val="007F7A30"/>
    <w:rsid w:val="00802D12"/>
    <w:rsid w:val="00803B5B"/>
    <w:rsid w:val="00853914"/>
    <w:rsid w:val="00874096"/>
    <w:rsid w:val="008900C8"/>
    <w:rsid w:val="008A4380"/>
    <w:rsid w:val="008B5E81"/>
    <w:rsid w:val="008E6B1C"/>
    <w:rsid w:val="008F28A0"/>
    <w:rsid w:val="00953ACE"/>
    <w:rsid w:val="00954A1B"/>
    <w:rsid w:val="00957D66"/>
    <w:rsid w:val="00961FFE"/>
    <w:rsid w:val="009722CA"/>
    <w:rsid w:val="009779B3"/>
    <w:rsid w:val="00985A9D"/>
    <w:rsid w:val="009A3CA0"/>
    <w:rsid w:val="009E39E6"/>
    <w:rsid w:val="009F6947"/>
    <w:rsid w:val="00A46D45"/>
    <w:rsid w:val="00A52935"/>
    <w:rsid w:val="00A708E5"/>
    <w:rsid w:val="00A811A0"/>
    <w:rsid w:val="00A91278"/>
    <w:rsid w:val="00A94777"/>
    <w:rsid w:val="00AB3FD1"/>
    <w:rsid w:val="00AC6207"/>
    <w:rsid w:val="00AE1E6E"/>
    <w:rsid w:val="00B0218F"/>
    <w:rsid w:val="00B0692F"/>
    <w:rsid w:val="00B121F4"/>
    <w:rsid w:val="00B256C0"/>
    <w:rsid w:val="00B3543C"/>
    <w:rsid w:val="00B646C6"/>
    <w:rsid w:val="00B65ACE"/>
    <w:rsid w:val="00B67111"/>
    <w:rsid w:val="00B67C8B"/>
    <w:rsid w:val="00B90544"/>
    <w:rsid w:val="00B91114"/>
    <w:rsid w:val="00B93849"/>
    <w:rsid w:val="00BA7F92"/>
    <w:rsid w:val="00BD1142"/>
    <w:rsid w:val="00BE36AB"/>
    <w:rsid w:val="00BF6B76"/>
    <w:rsid w:val="00BF7118"/>
    <w:rsid w:val="00C268B5"/>
    <w:rsid w:val="00C3138B"/>
    <w:rsid w:val="00C3143B"/>
    <w:rsid w:val="00C47C7E"/>
    <w:rsid w:val="00C778D5"/>
    <w:rsid w:val="00C839DD"/>
    <w:rsid w:val="00CA0A8E"/>
    <w:rsid w:val="00CF03B8"/>
    <w:rsid w:val="00D02F6D"/>
    <w:rsid w:val="00D12712"/>
    <w:rsid w:val="00D24811"/>
    <w:rsid w:val="00D2581D"/>
    <w:rsid w:val="00D60BBE"/>
    <w:rsid w:val="00D9206F"/>
    <w:rsid w:val="00DC147F"/>
    <w:rsid w:val="00DC3F94"/>
    <w:rsid w:val="00DC76AB"/>
    <w:rsid w:val="00DE3E69"/>
    <w:rsid w:val="00DF2482"/>
    <w:rsid w:val="00E018A2"/>
    <w:rsid w:val="00E13836"/>
    <w:rsid w:val="00E1720C"/>
    <w:rsid w:val="00E63366"/>
    <w:rsid w:val="00E80276"/>
    <w:rsid w:val="00E973AD"/>
    <w:rsid w:val="00EA74FA"/>
    <w:rsid w:val="00ED59F2"/>
    <w:rsid w:val="00EE4005"/>
    <w:rsid w:val="00EF37CC"/>
    <w:rsid w:val="00EF7FF8"/>
    <w:rsid w:val="00F33F87"/>
    <w:rsid w:val="00F40D3D"/>
    <w:rsid w:val="00F633EC"/>
    <w:rsid w:val="00F73CCC"/>
    <w:rsid w:val="00F823B4"/>
    <w:rsid w:val="00F8397C"/>
    <w:rsid w:val="00F920ED"/>
    <w:rsid w:val="00F9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72B4"/>
  <w15:chartTrackingRefBased/>
  <w15:docId w15:val="{7357E7BE-4AAA-4A51-8695-15D2F69C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6D"/>
    <w:pPr>
      <w:spacing w:after="200" w:line="276" w:lineRule="auto"/>
      <w:ind w:left="720"/>
      <w:contextualSpacing/>
    </w:pPr>
    <w:rPr>
      <w:rFonts w:ascii="Calibri" w:hAnsi="Calibri" w:cs="Times New Roman"/>
    </w:rPr>
  </w:style>
  <w:style w:type="table" w:styleId="TableGrid">
    <w:name w:val="Table Grid"/>
    <w:basedOn w:val="TableNormal"/>
    <w:rsid w:val="001C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7CC"/>
    <w:rPr>
      <w:rFonts w:ascii="Segoe UI" w:hAnsi="Segoe UI" w:cs="Segoe UI"/>
      <w:sz w:val="18"/>
      <w:szCs w:val="18"/>
    </w:rPr>
  </w:style>
  <w:style w:type="character" w:styleId="Hyperlink">
    <w:name w:val="Hyperlink"/>
    <w:basedOn w:val="DefaultParagraphFont"/>
    <w:uiPriority w:val="99"/>
    <w:unhideWhenUsed/>
    <w:rsid w:val="002A2BE4"/>
    <w:rPr>
      <w:color w:val="0563C1" w:themeColor="hyperlink"/>
      <w:u w:val="single"/>
    </w:rPr>
  </w:style>
  <w:style w:type="paragraph" w:styleId="Header">
    <w:name w:val="header"/>
    <w:basedOn w:val="Normal"/>
    <w:link w:val="HeaderChar"/>
    <w:uiPriority w:val="99"/>
    <w:unhideWhenUsed/>
    <w:rsid w:val="007F79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7937"/>
  </w:style>
  <w:style w:type="paragraph" w:styleId="Footer">
    <w:name w:val="footer"/>
    <w:basedOn w:val="Normal"/>
    <w:link w:val="FooterChar"/>
    <w:uiPriority w:val="99"/>
    <w:unhideWhenUsed/>
    <w:rsid w:val="007F79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7937"/>
  </w:style>
  <w:style w:type="character" w:styleId="FollowedHyperlink">
    <w:name w:val="FollowedHyperlink"/>
    <w:basedOn w:val="DefaultParagraphFont"/>
    <w:uiPriority w:val="99"/>
    <w:semiHidden/>
    <w:unhideWhenUsed/>
    <w:rsid w:val="007703C1"/>
    <w:rPr>
      <w:color w:val="954F72" w:themeColor="followedHyperlink"/>
      <w:u w:val="single"/>
    </w:rPr>
  </w:style>
  <w:style w:type="paragraph" w:styleId="Revision">
    <w:name w:val="Revision"/>
    <w:hidden/>
    <w:uiPriority w:val="99"/>
    <w:semiHidden/>
    <w:rsid w:val="00310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7573">
      <w:bodyDiv w:val="1"/>
      <w:marLeft w:val="0"/>
      <w:marRight w:val="0"/>
      <w:marTop w:val="0"/>
      <w:marBottom w:val="0"/>
      <w:divBdr>
        <w:top w:val="none" w:sz="0" w:space="0" w:color="auto"/>
        <w:left w:val="none" w:sz="0" w:space="0" w:color="auto"/>
        <w:bottom w:val="none" w:sz="0" w:space="0" w:color="auto"/>
        <w:right w:val="none" w:sz="0" w:space="0" w:color="auto"/>
      </w:divBdr>
    </w:div>
    <w:div w:id="893466265">
      <w:bodyDiv w:val="1"/>
      <w:marLeft w:val="0"/>
      <w:marRight w:val="0"/>
      <w:marTop w:val="0"/>
      <w:marBottom w:val="0"/>
      <w:divBdr>
        <w:top w:val="none" w:sz="0" w:space="0" w:color="auto"/>
        <w:left w:val="none" w:sz="0" w:space="0" w:color="auto"/>
        <w:bottom w:val="none" w:sz="0" w:space="0" w:color="auto"/>
        <w:right w:val="none" w:sz="0" w:space="0" w:color="auto"/>
      </w:divBdr>
    </w:div>
    <w:div w:id="20815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xedtermaccountants@treasury.gov.cy" TargetMode="External"/><Relationship Id="rId3" Type="http://schemas.openxmlformats.org/officeDocument/2006/relationships/settings" Target="settings.xml"/><Relationship Id="rId7" Type="http://schemas.openxmlformats.org/officeDocument/2006/relationships/hyperlink" Target="http://www.treasury.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Constantinos</dc:creator>
  <cp:keywords/>
  <dc:description/>
  <cp:lastModifiedBy>Alexandra Efthimiou</cp:lastModifiedBy>
  <cp:revision>3</cp:revision>
  <cp:lastPrinted>2022-02-10T10:37:00Z</cp:lastPrinted>
  <dcterms:created xsi:type="dcterms:W3CDTF">2022-02-14T06:28:00Z</dcterms:created>
  <dcterms:modified xsi:type="dcterms:W3CDTF">2022-02-16T08:11:00Z</dcterms:modified>
</cp:coreProperties>
</file>